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52808" w14:textId="0C7A799C" w:rsidR="00F62917" w:rsidRDefault="002E4789" w:rsidP="007D35D1">
      <w:pPr>
        <w:pStyle w:val="SoSRubrik1"/>
      </w:pPr>
      <w:bookmarkStart w:id="0" w:name="_Toc362596065"/>
      <w:bookmarkStart w:id="1" w:name="_Toc362596137"/>
      <w:bookmarkStart w:id="2" w:name="_Toc362596158"/>
      <w:bookmarkStart w:id="3" w:name="_Toc362596270"/>
      <w:r>
        <w:t xml:space="preserve">Konsekvensutredning – </w:t>
      </w:r>
      <w:bookmarkEnd w:id="0"/>
      <w:bookmarkEnd w:id="1"/>
      <w:bookmarkEnd w:id="2"/>
      <w:bookmarkEnd w:id="3"/>
      <w:r w:rsidR="000805E5">
        <w:t xml:space="preserve">förslag till upphävande av </w:t>
      </w:r>
      <w:r w:rsidR="004759B1">
        <w:t xml:space="preserve">Socialstyrelsens </w:t>
      </w:r>
      <w:r w:rsidR="000805E5">
        <w:t xml:space="preserve">föreskrifter </w:t>
      </w:r>
      <w:r w:rsidR="00B52B8B">
        <w:t xml:space="preserve">och allmänna råd </w:t>
      </w:r>
      <w:r w:rsidR="000805E5">
        <w:t>(SOSFS 200</w:t>
      </w:r>
      <w:r w:rsidR="00040FD7">
        <w:t>2</w:t>
      </w:r>
      <w:r w:rsidR="000805E5">
        <w:t>:</w:t>
      </w:r>
      <w:r w:rsidR="00B52B8B">
        <w:t>11</w:t>
      </w:r>
      <w:r w:rsidR="000805E5">
        <w:t xml:space="preserve">) om </w:t>
      </w:r>
      <w:r w:rsidR="00B52B8B">
        <w:t>biobanker i hälso- och sjukvården m.m.</w:t>
      </w:r>
      <w:r w:rsidR="000805E5">
        <w:t xml:space="preserve"> </w:t>
      </w:r>
    </w:p>
    <w:p w14:paraId="1A9F724D" w14:textId="7E9DC940" w:rsidR="00D02F6E" w:rsidRDefault="008F5701" w:rsidP="00C27CD7">
      <w:pPr>
        <w:pStyle w:val="SoSRubrik2"/>
      </w:pPr>
      <w:bookmarkStart w:id="4" w:name="_Toc362596066"/>
      <w:bookmarkStart w:id="5" w:name="_Toc362596138"/>
      <w:bookmarkStart w:id="6" w:name="_Toc362596159"/>
      <w:bookmarkStart w:id="7" w:name="_Toc362596271"/>
      <w:r w:rsidRPr="007D35D1">
        <w:t xml:space="preserve">Bakgrund </w:t>
      </w:r>
    </w:p>
    <w:p w14:paraId="7064351F" w14:textId="6AA0DA2A" w:rsidR="00A26561" w:rsidRDefault="00D873DD" w:rsidP="00D84B7D">
      <w:pPr>
        <w:pStyle w:val="SoSBrdtextindragfrstaraden"/>
        <w:ind w:firstLine="0"/>
      </w:pPr>
      <w:r>
        <w:t xml:space="preserve">Lagen (2002:297) om biobanker i hälso- och sjukvården m.m. (den nuvarande biobankslagen) trädde i kraft den 1 januari 2003. I lagen regleras hur humanbiologiskt material, med respekt för den enskilda människans integritet, ska få samlas in, förvaras och användas för vissa ändamål. Socialstyrelsens föreskrifter och allmänna råd (SOSFS 2002:11) om biobanker i hälso- och sjukvården m.m. gäller vid tillämpningen av den </w:t>
      </w:r>
      <w:r w:rsidR="00326081">
        <w:t>nuvarande biobanks</w:t>
      </w:r>
      <w:r>
        <w:t>lagen</w:t>
      </w:r>
      <w:r w:rsidR="0088563D">
        <w:t>.</w:t>
      </w:r>
      <w:r w:rsidR="00A26561">
        <w:t xml:space="preserve"> </w:t>
      </w:r>
    </w:p>
    <w:p w14:paraId="32EA4926" w14:textId="3C24A799" w:rsidR="00B25B71" w:rsidRDefault="00326081" w:rsidP="00B25B71">
      <w:pPr>
        <w:pStyle w:val="SoSBrdtextindragfrstaraden"/>
      </w:pPr>
      <w:r>
        <w:t xml:space="preserve">Genom åren har </w:t>
      </w:r>
      <w:r w:rsidR="004B2BCB">
        <w:t xml:space="preserve">viss </w:t>
      </w:r>
      <w:r>
        <w:t xml:space="preserve">kritik framförts mot den nuvarande biobankslagen. </w:t>
      </w:r>
      <w:r w:rsidR="00D873DD">
        <w:t xml:space="preserve">Lagen har ansetts vara </w:t>
      </w:r>
      <w:r w:rsidR="00D873DD" w:rsidRPr="009A6B77">
        <w:t>krånglig</w:t>
      </w:r>
      <w:r w:rsidR="00D873DD">
        <w:t>, oklar och svår att tillämpa. Det har även framförts att lagen inte ger tillräckligt skydd för den personliga integriteten.</w:t>
      </w:r>
      <w:r w:rsidR="00D873DD">
        <w:rPr>
          <w:rStyle w:val="Fotnotsreferens"/>
        </w:rPr>
        <w:footnoteReference w:id="1"/>
      </w:r>
      <w:r w:rsidR="00D873DD">
        <w:t xml:space="preserve"> </w:t>
      </w:r>
      <w:r w:rsidR="00403B67">
        <w:t>En</w:t>
      </w:r>
      <w:r w:rsidR="004019A5">
        <w:t xml:space="preserve"> översyn av lagstiftningen om biobanker</w:t>
      </w:r>
      <w:r w:rsidR="00403B67">
        <w:t xml:space="preserve"> har gjorts</w:t>
      </w:r>
      <w:r w:rsidR="004019A5">
        <w:t xml:space="preserve"> år 2010</w:t>
      </w:r>
      <w:r w:rsidR="00EE403F">
        <w:t xml:space="preserve"> </w:t>
      </w:r>
      <w:r w:rsidR="004019A5">
        <w:t>och 2017</w:t>
      </w:r>
      <w:r w:rsidR="00496786">
        <w:t>,</w:t>
      </w:r>
      <w:r w:rsidR="00EE403F">
        <w:t xml:space="preserve"> vilket </w:t>
      </w:r>
      <w:r w:rsidR="00ED0211">
        <w:t>resulterade</w:t>
      </w:r>
      <w:r w:rsidR="00403B67">
        <w:t xml:space="preserve"> i att</w:t>
      </w:r>
      <w:r w:rsidR="00D873DD">
        <w:t xml:space="preserve"> </w:t>
      </w:r>
      <w:proofErr w:type="gramStart"/>
      <w:r w:rsidR="00D873DD">
        <w:t>en ny biobank</w:t>
      </w:r>
      <w:r w:rsidR="00E84038">
        <w:t>s</w:t>
      </w:r>
      <w:r w:rsidR="00D873DD">
        <w:t>lag</w:t>
      </w:r>
      <w:proofErr w:type="gramEnd"/>
      <w:r w:rsidR="00D873DD">
        <w:t>, och följdändringar i andra lagar, träd</w:t>
      </w:r>
      <w:r w:rsidR="00D473BC">
        <w:t>er</w:t>
      </w:r>
      <w:r w:rsidR="00D873DD">
        <w:t xml:space="preserve"> i kraft den 1 juli 2023.</w:t>
      </w:r>
      <w:r w:rsidR="0082014D" w:rsidRPr="0082014D">
        <w:t xml:space="preserve"> </w:t>
      </w:r>
      <w:r w:rsidR="0082014D">
        <w:t>Den nya lagen syftar till att förbättra förutsättningarna för möjligheten att bevara och använda prover i en biobank på ett ändamålsenligt sätt, samtidigt som den enskildes integritet och rätt till självbestämmande förstärks oavsett om hans eller hennes prov samlas in inom eller utanför hälso- och sjukvården.</w:t>
      </w:r>
      <w:r w:rsidR="0082014D">
        <w:rPr>
          <w:rStyle w:val="Fotnotsreferens"/>
        </w:rPr>
        <w:footnoteReference w:id="2"/>
      </w:r>
    </w:p>
    <w:p w14:paraId="192029D7" w14:textId="77777777" w:rsidR="00B25B71" w:rsidRPr="00B25B71" w:rsidRDefault="00B25B71" w:rsidP="00B25B71">
      <w:pPr>
        <w:pStyle w:val="SoSBrdtextindragfrstaraden"/>
      </w:pPr>
    </w:p>
    <w:p w14:paraId="7CF41291" w14:textId="3A794B9F" w:rsidR="004C1B97" w:rsidRPr="004C1B97" w:rsidRDefault="001F17BE" w:rsidP="004C1B97">
      <w:pPr>
        <w:pStyle w:val="SoSBrdtext"/>
        <w:rPr>
          <w:b/>
          <w:i/>
          <w:sz w:val="24"/>
          <w:szCs w:val="24"/>
        </w:rPr>
      </w:pPr>
      <w:r>
        <w:rPr>
          <w:b/>
          <w:i/>
          <w:sz w:val="24"/>
          <w:szCs w:val="24"/>
        </w:rPr>
        <w:t xml:space="preserve">Några av de viktigaste </w:t>
      </w:r>
      <w:r w:rsidR="007E5BA4">
        <w:rPr>
          <w:b/>
          <w:i/>
          <w:sz w:val="24"/>
          <w:szCs w:val="24"/>
        </w:rPr>
        <w:t>ändringarna i</w:t>
      </w:r>
      <w:r>
        <w:rPr>
          <w:b/>
          <w:i/>
          <w:sz w:val="24"/>
          <w:szCs w:val="24"/>
        </w:rPr>
        <w:t xml:space="preserve"> den nya biobankslagen</w:t>
      </w:r>
      <w:r w:rsidR="008077EC">
        <w:rPr>
          <w:b/>
          <w:i/>
          <w:sz w:val="24"/>
          <w:szCs w:val="24"/>
        </w:rPr>
        <w:t xml:space="preserve"> i förhållande till den nu gällande lagen samt föreskrifterna</w:t>
      </w:r>
    </w:p>
    <w:p w14:paraId="49824A98" w14:textId="4FC8B33A" w:rsidR="001F17BE" w:rsidRDefault="001F17BE" w:rsidP="000C539B">
      <w:pPr>
        <w:pStyle w:val="SoSBrdtextindragfrstaraden"/>
        <w:ind w:firstLine="0"/>
      </w:pPr>
      <w:r>
        <w:t>Systematiken för den nya lagens tillämpningsområde är annorlunda än den nuvarande biobankslagens – samt föreskrifternas. Avgörande för den nu gällande lagens tillämplighet är i vilken verksamhet insamling av prover sker.</w:t>
      </w:r>
      <w:r>
        <w:rPr>
          <w:rStyle w:val="Fotnotsreferens"/>
        </w:rPr>
        <w:footnoteReference w:id="3"/>
      </w:r>
      <w:r>
        <w:t xml:space="preserve"> Även föreskrifterna tillämpas på de biobanker som avses i denna lag.</w:t>
      </w:r>
      <w:r w:rsidRPr="007B01AC">
        <w:rPr>
          <w:rStyle w:val="Fotnotsreferens"/>
        </w:rPr>
        <w:footnoteReference w:id="4"/>
      </w:r>
    </w:p>
    <w:p w14:paraId="0D055974" w14:textId="6E351ED5" w:rsidR="009507B2" w:rsidRDefault="00AC2F99" w:rsidP="00655A48">
      <w:pPr>
        <w:pStyle w:val="SoSBrdtextindragfrstaraden"/>
      </w:pPr>
      <w:r>
        <w:lastRenderedPageBreak/>
        <w:t>D</w:t>
      </w:r>
      <w:r w:rsidR="001F17BE">
        <w:t xml:space="preserve">en nya biobankslagen </w:t>
      </w:r>
      <w:r>
        <w:t xml:space="preserve">tillämpas </w:t>
      </w:r>
      <w:r w:rsidR="001F17BE">
        <w:t>på prov som samlas in till och bevaras i en biobank eller används för vissa ändamål.</w:t>
      </w:r>
      <w:r w:rsidR="001F17BE">
        <w:rPr>
          <w:rStyle w:val="Fotnotsreferens"/>
        </w:rPr>
        <w:footnoteReference w:id="5"/>
      </w:r>
      <w:r w:rsidR="001F17BE">
        <w:t xml:space="preserve"> Lagen riktas alltså inte mot biobankerna i sig. Den nya biobankslagen innebär att tillämpningsområdet utvidgas på så vis att även prov som är tagna utanför hälso- och sjukvården ska omfattas – om de samlas in, bevaras eller används för ändamålen enligt biobankslagen.</w:t>
      </w:r>
      <w:r w:rsidR="001F17BE">
        <w:rPr>
          <w:rStyle w:val="Fotnotsreferens"/>
        </w:rPr>
        <w:footnoteReference w:id="6"/>
      </w:r>
    </w:p>
    <w:p w14:paraId="4C7D5DC3" w14:textId="59ED4D33" w:rsidR="00655A48" w:rsidRDefault="005E19D9" w:rsidP="00655A48">
      <w:pPr>
        <w:pStyle w:val="SoSBrdtextindragfrstaraden"/>
      </w:pPr>
      <w:r>
        <w:t xml:space="preserve">Den nya </w:t>
      </w:r>
      <w:r w:rsidR="00DB5557">
        <w:t>biobanks</w:t>
      </w:r>
      <w:r>
        <w:t>l</w:t>
      </w:r>
      <w:r w:rsidR="00655A48">
        <w:t xml:space="preserve">agens tillämpningsområde avgränsas så att prov som hanteras vid transfusion, transplantation, insemination och befruktning utanför kroppen samt prover som ska vara en del av läkemedel eller medicinteknisk produkt, undantas. </w:t>
      </w:r>
      <w:r>
        <w:t>D</w:t>
      </w:r>
      <w:r w:rsidR="00655A48">
        <w:t xml:space="preserve">en nuvarande biobankslagen samt föreskrifterna </w:t>
      </w:r>
      <w:r>
        <w:t xml:space="preserve">gäller </w:t>
      </w:r>
      <w:r w:rsidR="00655A48">
        <w:t>i tillämpliga delar för vävnadsprover som tas och samlas in för transplantationsändamål.</w:t>
      </w:r>
      <w:r w:rsidR="00655A48">
        <w:rPr>
          <w:rStyle w:val="Fotnotsreferens"/>
        </w:rPr>
        <w:footnoteReference w:id="7"/>
      </w:r>
      <w:r>
        <w:t xml:space="preserve"> Här föreligger således en skillnad. </w:t>
      </w:r>
    </w:p>
    <w:p w14:paraId="376D9F45" w14:textId="77777777" w:rsidR="00D53CF4" w:rsidRDefault="00655A48" w:rsidP="00655A48">
      <w:pPr>
        <w:pStyle w:val="SoSBrdtextindragfrstaraden"/>
      </w:pPr>
      <w:r>
        <w:t>Även ett prov som har blivit väsentligt modifierat inom ramen för forskning eller produktframställning undantas från den nya lagens tillämpningsområde. Den nya lagen innebär även en förlängning av den tid under vilken ett prov kan bevaras utan att lagens bestämmelser blir tillämpliga.</w:t>
      </w:r>
      <w:r>
        <w:rPr>
          <w:rStyle w:val="Fotnotsreferens"/>
        </w:rPr>
        <w:footnoteReference w:id="8"/>
      </w:r>
      <w:r>
        <w:t xml:space="preserve"> Den nu gällande lagen är inte tillämplig på prover som är avsedda för forskning och som analyseras inom sex månader efter provtagningstillfället.</w:t>
      </w:r>
      <w:r>
        <w:rPr>
          <w:rStyle w:val="Fotnotsreferens"/>
        </w:rPr>
        <w:footnoteReference w:id="9"/>
      </w:r>
      <w:r>
        <w:t xml:space="preserve"> Däremot tillämpas den nya lagen bl.a. på prover som samlas in till och bevaras i en biobank eller används för forskning.</w:t>
      </w:r>
      <w:r>
        <w:rPr>
          <w:rStyle w:val="Fotnotsreferens"/>
        </w:rPr>
        <w:footnoteReference w:id="10"/>
      </w:r>
      <w:r>
        <w:t xml:space="preserve"> </w:t>
      </w:r>
    </w:p>
    <w:p w14:paraId="0082E37A" w14:textId="39A7FA6B" w:rsidR="00655A48" w:rsidRDefault="00D53CF4" w:rsidP="00655A48">
      <w:pPr>
        <w:pStyle w:val="SoSBrdtextindragfrstaraden"/>
      </w:pPr>
      <w:r>
        <w:t xml:space="preserve">Produktframställning tillkommer som ett nytt ändamål som prover får samlas in till, bevaras i en biobank eller används för. Prover får </w:t>
      </w:r>
      <w:r w:rsidR="00D473BC" w:rsidRPr="00D473BC">
        <w:t xml:space="preserve">enligt den nya biobankslagen </w:t>
      </w:r>
      <w:r>
        <w:t>även användas för att utreda skador enligt patientskadelagen (1996:799) och för att identifiera personer som har avlidit.</w:t>
      </w:r>
      <w:r>
        <w:rPr>
          <w:rStyle w:val="Fotnotsreferens"/>
        </w:rPr>
        <w:footnoteReference w:id="11"/>
      </w:r>
    </w:p>
    <w:p w14:paraId="385D666F" w14:textId="2F08C732" w:rsidR="00655A48" w:rsidRDefault="00655A48" w:rsidP="00655A48">
      <w:pPr>
        <w:pStyle w:val="SoSBrdtextindragfrstaraden"/>
      </w:pPr>
      <w:r>
        <w:t>Terminologin har förnyats i sin helhet i den nya biobankslagen. Det leder till diskrepans i förhållande till</w:t>
      </w:r>
      <w:r w:rsidR="00A220F4">
        <w:t xml:space="preserve"> den</w:t>
      </w:r>
      <w:r>
        <w:t xml:space="preserve"> terminologi som förekommer i föreskrifterna. </w:t>
      </w:r>
    </w:p>
    <w:p w14:paraId="722F831E" w14:textId="330CE98F" w:rsidR="00655A48" w:rsidRDefault="00655A48" w:rsidP="00655A48">
      <w:pPr>
        <w:pStyle w:val="SoSBrdtextindragfrstaraden"/>
      </w:pPr>
      <w:r>
        <w:t>Enligt nuvarande lag ska uttryckligt samtycke lämnas för att prover ska kunna samlas in och bevaras för de ändamål som provgivaren har godkänt.</w:t>
      </w:r>
      <w:r>
        <w:rPr>
          <w:rStyle w:val="Fotnotsreferens"/>
        </w:rPr>
        <w:footnoteReference w:id="12"/>
      </w:r>
      <w:r>
        <w:t xml:space="preserve"> Samtyckesreglerna har setts över, och det kommer </w:t>
      </w:r>
      <w:r w:rsidR="00DB5557">
        <w:t xml:space="preserve">i den nya biobankslagen </w:t>
      </w:r>
      <w:r>
        <w:t>inte längre krävas ett särskilt samtycke för att prover ska få samlas in till, bevaras i en biobank och användas för provgivarens vård eller behandling om provgivaren har fått viss information. Ett prov får även bevaras utan uttryckligt samtycke för framtida forskning, kvalitetssäkring och utvecklingsarbete samt för utbildning i enlighet med den nya lagen.</w:t>
      </w:r>
      <w:r>
        <w:rPr>
          <w:rStyle w:val="Fotnotsreferens"/>
        </w:rPr>
        <w:footnoteReference w:id="13"/>
      </w:r>
      <w:r>
        <w:t xml:space="preserve"> Lagen innehåller tydligare bestämmelser om vilken information som ska ges till provgivare. Det blir också möjligt att ta prov </w:t>
      </w:r>
      <w:r>
        <w:lastRenderedPageBreak/>
        <w:t>från barn mot vårdnadshavares samtycke i vissa fall.</w:t>
      </w:r>
      <w:r w:rsidR="003A032B">
        <w:rPr>
          <w:rStyle w:val="Fotnotsreferens"/>
        </w:rPr>
        <w:footnoteReference w:id="14"/>
      </w:r>
      <w:r>
        <w:t xml:space="preserve"> En nyhet är också att prov från </w:t>
      </w:r>
      <w:r w:rsidR="005E4BB9">
        <w:t>personer som saknar beslutsförmåga</w:t>
      </w:r>
      <w:r>
        <w:t xml:space="preserve"> får samlas in och bevaras för vård utan samtycke.</w:t>
      </w:r>
      <w:r w:rsidR="003A032B">
        <w:rPr>
          <w:rStyle w:val="Fotnotsreferens"/>
        </w:rPr>
        <w:footnoteReference w:id="15"/>
      </w:r>
    </w:p>
    <w:p w14:paraId="23C6168D" w14:textId="020458C6" w:rsidR="00655A48" w:rsidRDefault="00655A48" w:rsidP="00655A48">
      <w:pPr>
        <w:pStyle w:val="SoSBrdtextindragfrstaraden"/>
      </w:pPr>
      <w:r>
        <w:t xml:space="preserve">Den nya lagen innebär också att det tillkommer nya regler för tillgängliggörande av prover. Tillgängliggörande kan ske genom ett utlämnande, att provet skickas för åtgärd eller att </w:t>
      </w:r>
      <w:r w:rsidR="00771A08">
        <w:t xml:space="preserve">en </w:t>
      </w:r>
      <w:bookmarkStart w:id="8" w:name="_GoBack"/>
      <w:bookmarkEnd w:id="8"/>
      <w:r>
        <w:t>provsamling eller biobank överlåts.</w:t>
      </w:r>
      <w:r>
        <w:rPr>
          <w:rStyle w:val="Fotnotsreferens"/>
        </w:rPr>
        <w:footnoteReference w:id="16"/>
      </w:r>
      <w:r>
        <w:t xml:space="preserve"> </w:t>
      </w:r>
    </w:p>
    <w:p w14:paraId="616AF673" w14:textId="77777777" w:rsidR="001D167C" w:rsidRDefault="001D167C" w:rsidP="00655A48">
      <w:pPr>
        <w:pStyle w:val="SoSBrdtextindragfrstaraden"/>
      </w:pPr>
    </w:p>
    <w:p w14:paraId="70CF9BC1" w14:textId="0106367D" w:rsidR="00015AD5" w:rsidRPr="008B3BF0" w:rsidRDefault="001D167C" w:rsidP="00015AD5">
      <w:pPr>
        <w:pStyle w:val="SoSRubrik2"/>
        <w:rPr>
          <w:i/>
          <w:sz w:val="24"/>
          <w:szCs w:val="24"/>
        </w:rPr>
      </w:pPr>
      <w:r>
        <w:t>Beskrivning av problemet och vad Socialstyrelsen vill uppnå</w:t>
      </w:r>
      <w:r w:rsidR="00B80998">
        <w:t xml:space="preserve"> - </w:t>
      </w:r>
      <w:r w:rsidR="00716225">
        <w:t>f</w:t>
      </w:r>
      <w:r w:rsidR="00015AD5" w:rsidRPr="000C539B">
        <w:t>örslag att upphäva föreskrifterna (2002:11) i ett första skede</w:t>
      </w:r>
    </w:p>
    <w:p w14:paraId="67972DCB" w14:textId="249CD291" w:rsidR="00015AD5" w:rsidRDefault="00015AD5" w:rsidP="00015AD5">
      <w:pPr>
        <w:pStyle w:val="SoSBrdtextindragfrstaraden"/>
        <w:ind w:firstLine="0"/>
      </w:pPr>
      <w:r>
        <w:t xml:space="preserve">I och med att </w:t>
      </w:r>
      <w:r w:rsidR="005A3EEC">
        <w:t xml:space="preserve">den nuvarande </w:t>
      </w:r>
      <w:r>
        <w:t xml:space="preserve">biobankslagen upphävs i samband med att den nya biobankslagen träder i kraft, uppstår </w:t>
      </w:r>
      <w:r w:rsidR="00716225">
        <w:t xml:space="preserve">ett </w:t>
      </w:r>
      <w:r>
        <w:t>behov av att ta fram nya föreskrifter och allmänna råd på området. Den nu gällande författningen kommer att behöva upphävas. Frågan är dock på v</w:t>
      </w:r>
      <w:r w:rsidR="00CF1F8D">
        <w:t>ilket</w:t>
      </w:r>
      <w:r>
        <w:t xml:space="preserve"> sätt och i vilken ordningsföljd dessa arbeten</w:t>
      </w:r>
      <w:r w:rsidR="00801C1B">
        <w:t xml:space="preserve"> ska göras</w:t>
      </w:r>
      <w:r>
        <w:t xml:space="preserve">. </w:t>
      </w:r>
      <w:r w:rsidR="0071313D">
        <w:t>Alternativen bedöms vara följande</w:t>
      </w:r>
      <w:r>
        <w:t>:</w:t>
      </w:r>
    </w:p>
    <w:p w14:paraId="2DC4A27C" w14:textId="77777777" w:rsidR="00015AD5" w:rsidRDefault="00015AD5" w:rsidP="00015AD5">
      <w:pPr>
        <w:pStyle w:val="SoSBrdtextindragfrstaraden"/>
        <w:ind w:firstLine="0"/>
      </w:pPr>
    </w:p>
    <w:p w14:paraId="6B9A2B70" w14:textId="7562F436" w:rsidR="00015AD5" w:rsidRDefault="00F42BBA" w:rsidP="00015AD5">
      <w:pPr>
        <w:pStyle w:val="SoSBrdtextindragfrstaraden"/>
        <w:numPr>
          <w:ilvl w:val="0"/>
          <w:numId w:val="22"/>
        </w:numPr>
      </w:pPr>
      <w:r>
        <w:t xml:space="preserve">Att </w:t>
      </w:r>
      <w:r w:rsidR="00015AD5">
        <w:t>göra vissa nödvändiga följdändringar i ett första steg och sedan, i ett andra steg, ersätta den nuvarande författningen med en helt ny.</w:t>
      </w:r>
    </w:p>
    <w:p w14:paraId="148150F7" w14:textId="77777777" w:rsidR="00015AD5" w:rsidRDefault="00015AD5" w:rsidP="00015AD5">
      <w:pPr>
        <w:pStyle w:val="SoSBrdtextindragfrstaraden"/>
        <w:numPr>
          <w:ilvl w:val="0"/>
          <w:numId w:val="22"/>
        </w:numPr>
      </w:pPr>
      <w:r>
        <w:t>I ett första steg upphäva den nu gällande författningen och i ett andra steg ta fram en helt ny författning.</w:t>
      </w:r>
    </w:p>
    <w:p w14:paraId="400BCF26" w14:textId="703FA317" w:rsidR="00015AD5" w:rsidRDefault="00015AD5" w:rsidP="00015AD5">
      <w:pPr>
        <w:pStyle w:val="SoSBrdtextindragfrstaraden"/>
        <w:numPr>
          <w:ilvl w:val="0"/>
          <w:numId w:val="22"/>
        </w:numPr>
      </w:pPr>
      <w:r>
        <w:t xml:space="preserve">Ha kvar den nu gällande författningen fram till dess att den </w:t>
      </w:r>
      <w:r w:rsidR="00D67EB8">
        <w:t xml:space="preserve">ersätts </w:t>
      </w:r>
      <w:r>
        <w:t xml:space="preserve">med en ny.   </w:t>
      </w:r>
    </w:p>
    <w:p w14:paraId="2016C038" w14:textId="77777777" w:rsidR="00015AD5" w:rsidRDefault="00015AD5" w:rsidP="00015AD5">
      <w:pPr>
        <w:pStyle w:val="SoSBrdtextindragfrstaraden"/>
        <w:ind w:firstLine="0"/>
      </w:pPr>
    </w:p>
    <w:p w14:paraId="084A5AF1" w14:textId="77777777" w:rsidR="00CF1F8D" w:rsidRPr="00CF1F8D" w:rsidRDefault="00CF1F8D" w:rsidP="00CF1F8D">
      <w:pPr>
        <w:ind w:firstLine="224"/>
        <w:rPr>
          <w:color w:val="000000" w:themeColor="text1"/>
        </w:rPr>
      </w:pPr>
      <w:r w:rsidRPr="00CF1F8D">
        <w:rPr>
          <w:color w:val="000000" w:themeColor="text1"/>
        </w:rPr>
        <w:t>Den nya lagen innehåller flera nya bestämmelser och har andra utgångspunkter än den nuvarande biobankslagen och därmed även föreskrifterna. Genom den ändrade lagstiftningen blir innehållet i de nu gällande föreskrifterna till viss del inaktuellt</w:t>
      </w:r>
      <w:r w:rsidRPr="00CF1F8D">
        <w:rPr>
          <w:color w:val="000000" w:themeColor="text1"/>
          <w:vertAlign w:val="superscript"/>
        </w:rPr>
        <w:footnoteReference w:id="17"/>
      </w:r>
      <w:r w:rsidRPr="00CF1F8D">
        <w:rPr>
          <w:color w:val="000000" w:themeColor="text1"/>
        </w:rPr>
        <w:t xml:space="preserve"> och inte heller förenligt med den nya lagen.</w:t>
      </w:r>
      <w:r w:rsidRPr="00CF1F8D">
        <w:rPr>
          <w:color w:val="000000" w:themeColor="text1"/>
          <w:vertAlign w:val="superscript"/>
        </w:rPr>
        <w:footnoteReference w:id="18"/>
      </w:r>
    </w:p>
    <w:p w14:paraId="6D30B2F6" w14:textId="77777777" w:rsidR="00CF1F8D" w:rsidRDefault="00CF1F8D" w:rsidP="00015AD5">
      <w:pPr>
        <w:pStyle w:val="SoSBrdtextindragfrstaraden"/>
        <w:ind w:firstLine="0"/>
      </w:pPr>
    </w:p>
    <w:p w14:paraId="23D8EEE6" w14:textId="01F9F4CB" w:rsidR="00015AD5" w:rsidRDefault="00015AD5" w:rsidP="00015AD5">
      <w:pPr>
        <w:pStyle w:val="SoSBrdtextindragfrstaraden"/>
        <w:ind w:firstLine="0"/>
      </w:pPr>
      <w:r>
        <w:lastRenderedPageBreak/>
        <w:t xml:space="preserve">Sammanfattningsvis kan konstateras att bl.a. </w:t>
      </w:r>
      <w:r w:rsidR="00EE6281">
        <w:t>den för</w:t>
      </w:r>
      <w:r>
        <w:t>ändrad</w:t>
      </w:r>
      <w:r w:rsidR="00EE6281">
        <w:t>e</w:t>
      </w:r>
      <w:r>
        <w:t xml:space="preserve"> systematik</w:t>
      </w:r>
      <w:r w:rsidR="00EE6281">
        <w:t>en</w:t>
      </w:r>
      <w:r>
        <w:t xml:space="preserve">, </w:t>
      </w:r>
      <w:r w:rsidR="00EE6281">
        <w:t xml:space="preserve">det </w:t>
      </w:r>
      <w:r>
        <w:t>ändra</w:t>
      </w:r>
      <w:r w:rsidR="00EE6281">
        <w:t>de</w:t>
      </w:r>
      <w:r>
        <w:t xml:space="preserve"> tillämpningsområde</w:t>
      </w:r>
      <w:r w:rsidR="00EE6281">
        <w:t>t</w:t>
      </w:r>
      <w:r>
        <w:t xml:space="preserve"> </w:t>
      </w:r>
      <w:r w:rsidR="00EE6281">
        <w:t>samt</w:t>
      </w:r>
      <w:r>
        <w:t xml:space="preserve"> </w:t>
      </w:r>
      <w:r w:rsidR="00EE6281">
        <w:t xml:space="preserve">de </w:t>
      </w:r>
      <w:r>
        <w:t>ändrade definitioner</w:t>
      </w:r>
      <w:r w:rsidR="00EE6281">
        <w:t>na</w:t>
      </w:r>
      <w:r>
        <w:t xml:space="preserve"> i den nya biobankslagen gör det </w:t>
      </w:r>
      <w:r w:rsidR="00EE6281">
        <w:t>omöjligt</w:t>
      </w:r>
      <w:r>
        <w:t xml:space="preserve"> att</w:t>
      </w:r>
      <w:r w:rsidR="009D20F5">
        <w:t xml:space="preserve"> </w:t>
      </w:r>
      <w:r>
        <w:t xml:space="preserve">med </w:t>
      </w:r>
      <w:r w:rsidR="00EE6281">
        <w:t xml:space="preserve">hjälp av </w:t>
      </w:r>
      <w:r>
        <w:t xml:space="preserve">enklare följdändringar anpassa föreskrifterna till den nya lagen.  </w:t>
      </w:r>
    </w:p>
    <w:p w14:paraId="64D0E5E0" w14:textId="4C23CF7D" w:rsidR="000805E5" w:rsidRDefault="00015AD5" w:rsidP="00712DDA">
      <w:pPr>
        <w:pStyle w:val="SoSBrdtextindragfrstaraden"/>
      </w:pPr>
      <w:r>
        <w:t xml:space="preserve">Mot denna bakgrund gör </w:t>
      </w:r>
      <w:r w:rsidR="002353AE">
        <w:t xml:space="preserve">Socialstyrelsen </w:t>
      </w:r>
      <w:r>
        <w:t>bedömningen att det finns behov av att upphäva föreskrifterna</w:t>
      </w:r>
      <w:r w:rsidR="006C06FB">
        <w:t xml:space="preserve">. Målsättningen är att upphävandet ska </w:t>
      </w:r>
      <w:r w:rsidR="00AB7CD7">
        <w:t>träda ikraft</w:t>
      </w:r>
      <w:r w:rsidR="006C06FB">
        <w:t xml:space="preserve"> </w:t>
      </w:r>
      <w:r>
        <w:t xml:space="preserve">den 1 juli 2023 (när den nya </w:t>
      </w:r>
      <w:r w:rsidR="00D4207A">
        <w:t>biobanks</w:t>
      </w:r>
      <w:r>
        <w:t>lagen träder i kraft)</w:t>
      </w:r>
      <w:r w:rsidR="000E7EC6">
        <w:t xml:space="preserve">. Vidare bedöms att det finns behov av att </w:t>
      </w:r>
      <w:r>
        <w:t xml:space="preserve">skyndsamt ta fram </w:t>
      </w:r>
      <w:r w:rsidR="00D4207A">
        <w:t xml:space="preserve">nya </w:t>
      </w:r>
      <w:r>
        <w:t xml:space="preserve">föreskrifter och allmänna råd om biobanker. Den preliminära bedömningen är att de nya föreskrifterna tidigast kan träda i kraft </w:t>
      </w:r>
      <w:r w:rsidR="00926488">
        <w:t>den 1</w:t>
      </w:r>
      <w:r>
        <w:t xml:space="preserve"> ma</w:t>
      </w:r>
      <w:r w:rsidR="00926488">
        <w:t>j</w:t>
      </w:r>
      <w:r>
        <w:t xml:space="preserve"> 2024. Med andra ord förordar </w:t>
      </w:r>
      <w:r w:rsidR="004C44BD">
        <w:t>Socialstyrelsen</w:t>
      </w:r>
      <w:r>
        <w:t xml:space="preserve"> alternativ 2 ovan. </w:t>
      </w:r>
    </w:p>
    <w:p w14:paraId="4EEB0FF3" w14:textId="3EF5DB70" w:rsidR="004D7B48" w:rsidRDefault="00A769A7" w:rsidP="00E233CB">
      <w:pPr>
        <w:pStyle w:val="SoSRubrik2"/>
      </w:pPr>
      <w:r>
        <w:t>Berörda av regleringen</w:t>
      </w:r>
    </w:p>
    <w:p w14:paraId="2B95776C" w14:textId="00A9DDA5" w:rsidR="00600C0B" w:rsidRPr="004D7B48" w:rsidRDefault="00600C0B" w:rsidP="00600C0B">
      <w:pPr>
        <w:pStyle w:val="SoSBrdtextindragfrstaraden"/>
        <w:ind w:firstLine="0"/>
      </w:pPr>
      <w:r>
        <w:t xml:space="preserve">Författningen vänder sig till </w:t>
      </w:r>
      <w:r w:rsidR="002335A9">
        <w:t xml:space="preserve">vårdgivare och andra huvudmän som innehar eller inrättar biobanker, de som är ansvariga för biobanker samt läkare och annan personal inom hälso- och sjukvården. </w:t>
      </w:r>
      <w:r w:rsidR="0036685D">
        <w:t>Även patienter, provgivare och de som i övrigt ska informeras och ta ställning till om vävnadsprover får samlas och bevaras i en biobank, berörs.</w:t>
      </w:r>
    </w:p>
    <w:p w14:paraId="35ADC26D" w14:textId="77777777" w:rsidR="00A769A7" w:rsidRPr="00C17C82" w:rsidRDefault="00A769A7" w:rsidP="00510DA2">
      <w:pPr>
        <w:pStyle w:val="SoSRubrik2"/>
      </w:pPr>
      <w:r w:rsidRPr="00C17C82">
        <w:rPr>
          <w:bCs/>
          <w:szCs w:val="28"/>
        </w:rPr>
        <w:t>Barnkonsekvensanalys</w:t>
      </w:r>
    </w:p>
    <w:p w14:paraId="689C2A68" w14:textId="36B9246A" w:rsidR="00EC0DC9" w:rsidRDefault="00F27C24" w:rsidP="00A769A7">
      <w:pPr>
        <w:pStyle w:val="SoSBrdtextindragfrstaraden"/>
        <w:ind w:firstLine="0"/>
      </w:pPr>
      <w:r>
        <w:t>Socialstyrelsen bedöm</w:t>
      </w:r>
      <w:r w:rsidR="000D0EB7">
        <w:t xml:space="preserve">er att </w:t>
      </w:r>
      <w:r w:rsidR="000805E5">
        <w:t xml:space="preserve">förslaget till upphävande av författningen </w:t>
      </w:r>
      <w:r>
        <w:t xml:space="preserve">inte har någon särskild påverkan på barn. </w:t>
      </w:r>
    </w:p>
    <w:p w14:paraId="71AD151C" w14:textId="77777777" w:rsidR="00A769A7" w:rsidRDefault="00A769A7" w:rsidP="00510DA2">
      <w:pPr>
        <w:pStyle w:val="SoSRubrik2"/>
      </w:pPr>
      <w:r>
        <w:t xml:space="preserve">Bemyndiganden som myndighetens beslutanderätt grundar sig på </w:t>
      </w:r>
    </w:p>
    <w:p w14:paraId="5F6E028B" w14:textId="36D84DC8" w:rsidR="0076396B" w:rsidRDefault="0076396B" w:rsidP="0076396B">
      <w:pPr>
        <w:pStyle w:val="SoSBrdtext"/>
      </w:pPr>
      <w:r>
        <w:t>De bestämmelser som Socialstyrelsen föreslår ska upphävas grundar sig på bemyndigande</w:t>
      </w:r>
      <w:r w:rsidR="006B40D5">
        <w:t>n</w:t>
      </w:r>
      <w:r>
        <w:t xml:space="preserve"> för </w:t>
      </w:r>
      <w:r w:rsidR="00F8379D">
        <w:t>myndigheten</w:t>
      </w:r>
      <w:r>
        <w:t xml:space="preserve"> att meddela föreskrifter enligt nedan. </w:t>
      </w:r>
    </w:p>
    <w:p w14:paraId="1A646544" w14:textId="3FB7D0A5" w:rsidR="0076396B" w:rsidRDefault="0076396B" w:rsidP="0076396B">
      <w:pPr>
        <w:pStyle w:val="SoSBrdtextindragfrstaraden"/>
      </w:pPr>
      <w:r w:rsidRPr="00EA37A5">
        <w:t xml:space="preserve">Socialstyrelsen får enligt 8 kap. 1 § hälso- och sjukvårdsförordningen (2017:80) </w:t>
      </w:r>
      <w:r>
        <w:t>m</w:t>
      </w:r>
      <w:r w:rsidRPr="00EA37A5">
        <w:t>eddela föreskrifter om hälso- och sjukvård som behövs till skydd för enskilda</w:t>
      </w:r>
      <w:r w:rsidR="00A607B2">
        <w:t>.</w:t>
      </w:r>
    </w:p>
    <w:p w14:paraId="188DA238" w14:textId="79686B99" w:rsidR="0076396B" w:rsidRPr="00EA37A5" w:rsidRDefault="0076396B" w:rsidP="0076396B">
      <w:pPr>
        <w:pStyle w:val="SoSBrdtextindragfrstaraden"/>
        <w:rPr>
          <w:szCs w:val="22"/>
        </w:rPr>
      </w:pPr>
      <w:r w:rsidRPr="00EA37A5">
        <w:rPr>
          <w:szCs w:val="22"/>
        </w:rPr>
        <w:t>Enligt 7 kap. 4 § patientsäkerhetsförordningen (2010:1369)</w:t>
      </w:r>
      <w:r>
        <w:rPr>
          <w:szCs w:val="22"/>
        </w:rPr>
        <w:t xml:space="preserve">, PSF, </w:t>
      </w:r>
      <w:r w:rsidRPr="00EA37A5">
        <w:rPr>
          <w:szCs w:val="22"/>
        </w:rPr>
        <w:t>får Socialstyrelsen meddela ytterligare föreskrifter om skyldigheter för hälso- och sjukvårdspersonalen som behövs till skydd för människors liv, personliga säkerhet eller hälsa</w:t>
      </w:r>
      <w:r w:rsidR="00875DC3">
        <w:rPr>
          <w:szCs w:val="22"/>
        </w:rPr>
        <w:t xml:space="preserve"> och enligt 8 kap. 5 § </w:t>
      </w:r>
      <w:r w:rsidR="00F44B24">
        <w:rPr>
          <w:szCs w:val="22"/>
        </w:rPr>
        <w:t xml:space="preserve">andra </w:t>
      </w:r>
      <w:r w:rsidR="00EE4A54">
        <w:rPr>
          <w:szCs w:val="22"/>
        </w:rPr>
        <w:t xml:space="preserve">stycket </w:t>
      </w:r>
      <w:r w:rsidR="00A914B3">
        <w:rPr>
          <w:szCs w:val="22"/>
        </w:rPr>
        <w:t>första meningen</w:t>
      </w:r>
      <w:r w:rsidR="00875DC3">
        <w:rPr>
          <w:szCs w:val="22"/>
        </w:rPr>
        <w:t xml:space="preserve"> samma förordning får myndigheten meddela </w:t>
      </w:r>
      <w:r w:rsidR="00A914B3">
        <w:rPr>
          <w:szCs w:val="22"/>
        </w:rPr>
        <w:t xml:space="preserve">ytterligare </w:t>
      </w:r>
      <w:r w:rsidR="00875DC3">
        <w:rPr>
          <w:szCs w:val="22"/>
        </w:rPr>
        <w:t xml:space="preserve">föreskrifter om </w:t>
      </w:r>
      <w:r w:rsidR="00A914B3">
        <w:rPr>
          <w:szCs w:val="22"/>
        </w:rPr>
        <w:t>verkställigheten av patientsäkerhetslagen och föreskrifter om verkställigheten av denna förordning.</w:t>
      </w:r>
    </w:p>
    <w:p w14:paraId="4C514808" w14:textId="4F5DCED7" w:rsidR="001F2A0C" w:rsidRPr="00EA37A5" w:rsidRDefault="001F2A0C" w:rsidP="0076396B">
      <w:pPr>
        <w:pStyle w:val="SoSBrdtextindragfrstaraden"/>
        <w:rPr>
          <w:color w:val="auto"/>
          <w:szCs w:val="22"/>
        </w:rPr>
      </w:pPr>
      <w:r>
        <w:rPr>
          <w:color w:val="auto"/>
          <w:szCs w:val="22"/>
        </w:rPr>
        <w:t xml:space="preserve">Enligt </w:t>
      </w:r>
      <w:r w:rsidR="00CD2D13">
        <w:rPr>
          <w:color w:val="auto"/>
          <w:szCs w:val="22"/>
        </w:rPr>
        <w:t xml:space="preserve">2 § 4 </w:t>
      </w:r>
      <w:r w:rsidR="00777B31">
        <w:rPr>
          <w:color w:val="auto"/>
          <w:szCs w:val="22"/>
        </w:rPr>
        <w:t>a</w:t>
      </w:r>
      <w:r w:rsidR="00D82844">
        <w:rPr>
          <w:color w:val="auto"/>
          <w:szCs w:val="22"/>
        </w:rPr>
        <w:t xml:space="preserve"> f</w:t>
      </w:r>
      <w:r w:rsidR="003C5D64">
        <w:rPr>
          <w:color w:val="auto"/>
          <w:szCs w:val="22"/>
        </w:rPr>
        <w:t xml:space="preserve">örordningen (1985:796) med vissa bemyndiganden för Socialstyrelsen </w:t>
      </w:r>
      <w:r w:rsidR="00101DAB">
        <w:rPr>
          <w:color w:val="auto"/>
          <w:szCs w:val="22"/>
        </w:rPr>
        <w:t xml:space="preserve">att meddela föreskrifter m.m. får myndigheten meddela föreskrifter om </w:t>
      </w:r>
      <w:r w:rsidR="00D82844">
        <w:rPr>
          <w:color w:val="auto"/>
          <w:szCs w:val="22"/>
        </w:rPr>
        <w:t xml:space="preserve">att annan hälso- och sjukvårdspersonal än läkare får fullgöra uppgifter som läkare har enligt lagen (1995:831) om transplantation m.m. och enligt 2 § 4 b samma förordning får myndigheten meddela föreskrifter om </w:t>
      </w:r>
      <w:r w:rsidR="00263C09">
        <w:rPr>
          <w:color w:val="auto"/>
          <w:szCs w:val="22"/>
        </w:rPr>
        <w:t xml:space="preserve">att </w:t>
      </w:r>
      <w:r w:rsidR="00D82844">
        <w:rPr>
          <w:color w:val="auto"/>
          <w:szCs w:val="22"/>
        </w:rPr>
        <w:t xml:space="preserve">ingrepp enligt samma lag </w:t>
      </w:r>
      <w:r w:rsidR="00263C09">
        <w:rPr>
          <w:color w:val="auto"/>
          <w:szCs w:val="22"/>
        </w:rPr>
        <w:t xml:space="preserve">endast </w:t>
      </w:r>
      <w:r w:rsidR="00D82844">
        <w:rPr>
          <w:color w:val="auto"/>
          <w:szCs w:val="22"/>
        </w:rPr>
        <w:t xml:space="preserve">får utföras på sjukhus som avses i 7 kap. 4 § hälso- och sjukvårdslagen (2017:30) eller vid en annan enhet inom hälso- och sjukvården eller det medicinska området i övrigt. </w:t>
      </w:r>
    </w:p>
    <w:p w14:paraId="3102FD76" w14:textId="60A40D55" w:rsidR="0076396B" w:rsidRPr="00EA37A5" w:rsidRDefault="0076396B" w:rsidP="0076396B">
      <w:pPr>
        <w:pStyle w:val="SoSBrdtextindragfrstaraden"/>
        <w:rPr>
          <w:b/>
          <w:szCs w:val="22"/>
        </w:rPr>
      </w:pPr>
      <w:r w:rsidRPr="00EA37A5">
        <w:t xml:space="preserve">Socialstyrelsen får enligt </w:t>
      </w:r>
      <w:r w:rsidR="00DC57F8">
        <w:t xml:space="preserve">4 § </w:t>
      </w:r>
      <w:r w:rsidR="00C153AD">
        <w:t>förordning</w:t>
      </w:r>
      <w:r w:rsidR="00FD0BDF">
        <w:t>en</w:t>
      </w:r>
      <w:r w:rsidR="00C153AD">
        <w:t xml:space="preserve"> (2002:746) om biobanker i hälso- och sjukvården m.m. meddela föreskrifter om hur länge vävnadsprover ska bevaras i biobanker, förutsättningar för överlåtelse av en biobank samt förutsättningar </w:t>
      </w:r>
      <w:r w:rsidR="00C153AD">
        <w:lastRenderedPageBreak/>
        <w:t>för nedläggning av en biobank</w:t>
      </w:r>
      <w:r w:rsidR="0062556A">
        <w:t>.</w:t>
      </w:r>
      <w:r w:rsidR="00C153AD">
        <w:t xml:space="preserve"> </w:t>
      </w:r>
      <w:r w:rsidR="0062556A">
        <w:t>E</w:t>
      </w:r>
      <w:r w:rsidR="00C153AD">
        <w:t xml:space="preserve">nligt 4 a § samma förordning får myndigheten meddela ytterligare föreskrifter om verkställigheten av biobankslagen och föreskrifter om verkställigheten av denna förordning. </w:t>
      </w:r>
    </w:p>
    <w:p w14:paraId="7FBF7485" w14:textId="4B19FA71" w:rsidR="00950C82" w:rsidRDefault="00950C82" w:rsidP="00950C82">
      <w:pPr>
        <w:pStyle w:val="SoSBrdtextindragfrstaraden"/>
        <w:ind w:firstLine="0"/>
      </w:pPr>
    </w:p>
    <w:p w14:paraId="4F6D10AF" w14:textId="2896C8B9" w:rsidR="00A11DB0" w:rsidRDefault="00F62917" w:rsidP="00A11DB0">
      <w:pPr>
        <w:pStyle w:val="SoSRubrik2"/>
        <w:rPr>
          <w:i/>
          <w:sz w:val="24"/>
          <w:szCs w:val="24"/>
        </w:rPr>
      </w:pPr>
      <w:r>
        <w:t>Kostnadsmässiga och andra konsekvenser</w:t>
      </w:r>
      <w:r w:rsidR="00A11DB0">
        <w:rPr>
          <w:i/>
          <w:sz w:val="24"/>
          <w:szCs w:val="24"/>
        </w:rPr>
        <w:t xml:space="preserve"> </w:t>
      </w:r>
    </w:p>
    <w:p w14:paraId="7E3E01E6" w14:textId="1A996F20" w:rsidR="00D5164E" w:rsidRDefault="00E45E7F" w:rsidP="00A11DB0">
      <w:pPr>
        <w:pStyle w:val="SoSBrdtext"/>
      </w:pPr>
      <w:r w:rsidRPr="004A47EE">
        <w:t>Till följd av att</w:t>
      </w:r>
      <w:r w:rsidR="00A11DB0">
        <w:t xml:space="preserve"> SOSFS 2002:11 upphävs vid </w:t>
      </w:r>
      <w:r w:rsidR="00837625">
        <w:t>den nya biobanks</w:t>
      </w:r>
      <w:r w:rsidR="00A11DB0">
        <w:t xml:space="preserve">lagens ikraftträdande, uppstår en övergångsperiod utan </w:t>
      </w:r>
      <w:r w:rsidR="00CF1F8D">
        <w:t>myndighets</w:t>
      </w:r>
      <w:r w:rsidR="00A11DB0">
        <w:t>föreskrifter</w:t>
      </w:r>
      <w:r w:rsidR="00D5164E">
        <w:t>.</w:t>
      </w:r>
    </w:p>
    <w:p w14:paraId="2625F121" w14:textId="2B9D2A64" w:rsidR="00A11DB0" w:rsidRDefault="00D5164E" w:rsidP="006B40D5">
      <w:pPr>
        <w:pStyle w:val="SoSBrdtextindragfrstaraden"/>
      </w:pPr>
      <w:r>
        <w:t>Det kommer exempelvis inte finnas några</w:t>
      </w:r>
      <w:r w:rsidR="00A11DB0">
        <w:t xml:space="preserve"> </w:t>
      </w:r>
      <w:r w:rsidR="00837625">
        <w:t>föreskrift</w:t>
      </w:r>
      <w:r w:rsidR="00CF1F8D">
        <w:t>er</w:t>
      </w:r>
      <w:r w:rsidR="00A11DB0">
        <w:t xml:space="preserve"> om informationsöverföring mellan vården och biobanken. Enligt föreskrifterna ska den läkare som har ansvaret för vården av en patient se till att den som är ansvarig för biobanken informeras om att ett prov ska sparas.</w:t>
      </w:r>
      <w:r w:rsidR="00A11DB0">
        <w:rPr>
          <w:rStyle w:val="Fotnotsreferens"/>
        </w:rPr>
        <w:footnoteReference w:id="19"/>
      </w:r>
      <w:r w:rsidR="00A11DB0">
        <w:t xml:space="preserve"> Den nya biobankslagen gäller dock även när prov samlas in utanför hälso- och sjukvården så länge ändamål</w:t>
      </w:r>
      <w:r w:rsidR="00CE56D2">
        <w:t>en</w:t>
      </w:r>
      <w:r w:rsidR="00A11DB0">
        <w:t xml:space="preserve"> </w:t>
      </w:r>
      <w:r w:rsidR="000D4C77">
        <w:t>för vilka</w:t>
      </w:r>
      <w:r w:rsidR="00A11DB0">
        <w:t xml:space="preserve"> proven samlas in, bevaras eller används, </w:t>
      </w:r>
      <w:r w:rsidR="00A11DB0" w:rsidRPr="0083123E">
        <w:t xml:space="preserve">omfattas av lagen. </w:t>
      </w:r>
      <w:r w:rsidR="00A8551A">
        <w:t>Lagen innehåller</w:t>
      </w:r>
      <w:r w:rsidR="00837625">
        <w:t xml:space="preserve"> </w:t>
      </w:r>
      <w:r w:rsidR="00A17E6E">
        <w:t>inga</w:t>
      </w:r>
      <w:r w:rsidR="00A11DB0" w:rsidRPr="0083123E">
        <w:t xml:space="preserve"> regler om informationsöverföring</w:t>
      </w:r>
      <w:r w:rsidR="00A17E6E">
        <w:t xml:space="preserve"> i en situation när prov tas utanför hälso- och sjukvården och bevaras i en biobank</w:t>
      </w:r>
      <w:r w:rsidR="00A11DB0">
        <w:t xml:space="preserve">. </w:t>
      </w:r>
    </w:p>
    <w:p w14:paraId="18A03384" w14:textId="6E5B9D75" w:rsidR="00A11DB0" w:rsidRDefault="00837625" w:rsidP="00A11DB0">
      <w:pPr>
        <w:pStyle w:val="SoSBrdtext"/>
        <w:ind w:firstLine="224"/>
      </w:pPr>
      <w:r>
        <w:t>Vad gäller</w:t>
      </w:r>
      <w:r w:rsidR="00A11DB0">
        <w:t xml:space="preserve"> beslutsoförmåga föreskrivs att patienten ska, i det fall han eller hon återfår förmågan att lämna samtycke, ges tillfälle att ta ställning till om vävnadsprovet ska förvaras i biobanken, om ett vävnadsprov har sparats för vård och behandling av en patient.</w:t>
      </w:r>
      <w:r w:rsidR="00A11DB0">
        <w:rPr>
          <w:rStyle w:val="Fotnotsreferens"/>
        </w:rPr>
        <w:footnoteReference w:id="20"/>
      </w:r>
      <w:r w:rsidR="00A11DB0">
        <w:t xml:space="preserve"> Av den nya lagen framgår inte vad som gäller </w:t>
      </w:r>
      <w:r>
        <w:t xml:space="preserve">i dessa situationer, dvs. </w:t>
      </w:r>
      <w:r w:rsidR="00A11DB0">
        <w:t>om en provgivare återfår förmågan att fatta beslut.</w:t>
      </w:r>
      <w:r w:rsidR="00076363">
        <w:rPr>
          <w:rStyle w:val="Fotnotsreferens"/>
        </w:rPr>
        <w:footnoteReference w:id="21"/>
      </w:r>
      <w:r w:rsidR="00A11DB0">
        <w:t xml:space="preserve"> </w:t>
      </w:r>
    </w:p>
    <w:p w14:paraId="54E50F17" w14:textId="77777777" w:rsidR="00A11DB0" w:rsidRDefault="00A11DB0" w:rsidP="00A11DB0">
      <w:pPr>
        <w:pStyle w:val="SoSBrdtext"/>
        <w:ind w:firstLine="224"/>
      </w:pPr>
      <w:r>
        <w:t>Enligt den nya lagen ska ett prov som tillgängliggörs vara kodat.</w:t>
      </w:r>
      <w:r>
        <w:rPr>
          <w:rStyle w:val="Fotnotsreferens"/>
        </w:rPr>
        <w:footnoteReference w:id="22"/>
      </w:r>
      <w:r>
        <w:t xml:space="preserve"> Av föreskrifterna framgår hur prover ska märkas.</w:t>
      </w:r>
      <w:r>
        <w:rPr>
          <w:rStyle w:val="Fotnotsreferens"/>
        </w:rPr>
        <w:footnoteReference w:id="23"/>
      </w:r>
      <w:r>
        <w:t xml:space="preserve"> </w:t>
      </w:r>
    </w:p>
    <w:p w14:paraId="7280D1C6" w14:textId="44CC0200" w:rsidR="00A11DB0" w:rsidRDefault="00EF36FA" w:rsidP="00A11DB0">
      <w:pPr>
        <w:pStyle w:val="SoSBrdtext"/>
        <w:ind w:firstLine="224"/>
      </w:pPr>
      <w:r>
        <w:t xml:space="preserve">Av redogörelsen ovan framgår att det kan uppstå luckor i regelverket under </w:t>
      </w:r>
      <w:r w:rsidR="00CF1F8D">
        <w:t xml:space="preserve">den </w:t>
      </w:r>
      <w:r>
        <w:t xml:space="preserve">tid </w:t>
      </w:r>
      <w:r w:rsidR="00CF1F8D">
        <w:t xml:space="preserve">då </w:t>
      </w:r>
      <w:r>
        <w:t xml:space="preserve">det saknas föreskrifter och allmänna råd. Socialstyrelsen anser dock att </w:t>
      </w:r>
      <w:r w:rsidR="00891A75">
        <w:t>nackdelarna</w:t>
      </w:r>
      <w:r w:rsidR="00A11DB0">
        <w:t xml:space="preserve"> med att ha kvar delvis obsolet</w:t>
      </w:r>
      <w:r w:rsidR="00891A75">
        <w:t>a</w:t>
      </w:r>
      <w:r w:rsidR="00A11DB0">
        <w:t xml:space="preserve"> föreskrift</w:t>
      </w:r>
      <w:r w:rsidR="00891A75">
        <w:t>er</w:t>
      </w:r>
      <w:r w:rsidR="00A11DB0">
        <w:t xml:space="preserve"> väg</w:t>
      </w:r>
      <w:r>
        <w:t>er</w:t>
      </w:r>
      <w:r w:rsidR="00A11DB0">
        <w:t xml:space="preserve"> tyngre än </w:t>
      </w:r>
      <w:r w:rsidR="00891A75">
        <w:t>de olägenheter som kan följa av att det under en period kommer att saknas myndighetsföreskrifter som kompletterar lagstiftningen</w:t>
      </w:r>
      <w:r w:rsidR="00A11DB0">
        <w:t>. Socialstyrelsen bedömer vidare att förslaget till upphävande av föreskrifterna inte medför några kostnadsmässiga konsekvenser</w:t>
      </w:r>
      <w:r w:rsidR="00181FD8">
        <w:t>.</w:t>
      </w:r>
    </w:p>
    <w:p w14:paraId="53A3053E" w14:textId="300D0B9E" w:rsidR="00A11DB0" w:rsidRDefault="00A11DB0" w:rsidP="00A11DB0">
      <w:pPr>
        <w:pStyle w:val="SoSBrdtextindragfrstaraden"/>
      </w:pPr>
    </w:p>
    <w:p w14:paraId="7F837C0B" w14:textId="366639B6" w:rsidR="00A11DB0" w:rsidRPr="00A11DB0" w:rsidRDefault="00D36379" w:rsidP="003C0559">
      <w:pPr>
        <w:pStyle w:val="SoSBrdtextindragfrstaraden"/>
        <w:ind w:firstLine="0"/>
      </w:pPr>
      <w:r>
        <w:rPr>
          <w:i/>
          <w:sz w:val="24"/>
          <w:szCs w:val="24"/>
        </w:rPr>
        <w:t>Synpunkter</w:t>
      </w:r>
      <w:r w:rsidR="00A11DB0">
        <w:rPr>
          <w:i/>
          <w:sz w:val="24"/>
          <w:szCs w:val="24"/>
        </w:rPr>
        <w:t xml:space="preserve"> från externa aktörer</w:t>
      </w:r>
    </w:p>
    <w:p w14:paraId="1ED16A00" w14:textId="4920F836" w:rsidR="00010A35" w:rsidRDefault="00A11DB0" w:rsidP="003C0559">
      <w:pPr>
        <w:pStyle w:val="SoSBrdtextindragfrstaraden"/>
        <w:ind w:firstLine="0"/>
      </w:pPr>
      <w:r>
        <w:t xml:space="preserve">Socialstyrelsen har </w:t>
      </w:r>
      <w:r w:rsidR="00125871">
        <w:t xml:space="preserve">diskuterat situationen och de olika handlingsalternativen </w:t>
      </w:r>
      <w:r>
        <w:t>med representanter f</w:t>
      </w:r>
      <w:r w:rsidR="00125871">
        <w:t>ör</w:t>
      </w:r>
      <w:r>
        <w:t xml:space="preserve"> </w:t>
      </w:r>
      <w:r w:rsidR="00125871">
        <w:t xml:space="preserve">Sveriges </w:t>
      </w:r>
      <w:r w:rsidR="00690D74">
        <w:t>K</w:t>
      </w:r>
      <w:r w:rsidR="00285BD4">
        <w:t xml:space="preserve">ommuner och </w:t>
      </w:r>
      <w:r w:rsidR="00690D74">
        <w:t>R</w:t>
      </w:r>
      <w:r w:rsidR="00285BD4">
        <w:t>egioner (</w:t>
      </w:r>
      <w:r>
        <w:t>SKR</w:t>
      </w:r>
      <w:r w:rsidR="00285BD4">
        <w:t>)</w:t>
      </w:r>
      <w:r>
        <w:t xml:space="preserve">, </w:t>
      </w:r>
      <w:r w:rsidR="0019504F">
        <w:t>Region Stockholm</w:t>
      </w:r>
      <w:r w:rsidR="007E5EDD">
        <w:t xml:space="preserve"> och Region Östergötland</w:t>
      </w:r>
      <w:r w:rsidR="00AE18BD">
        <w:t xml:space="preserve"> samt</w:t>
      </w:r>
      <w:r>
        <w:t xml:space="preserve"> Biobank Sverige</w:t>
      </w:r>
      <w:r w:rsidR="00452CA4">
        <w:t xml:space="preserve">. </w:t>
      </w:r>
      <w:r>
        <w:t xml:space="preserve">Aktörerna </w:t>
      </w:r>
      <w:r w:rsidR="00690D74">
        <w:t>bedömde</w:t>
      </w:r>
      <w:r>
        <w:t xml:space="preserve"> att </w:t>
      </w:r>
      <w:r w:rsidR="00534D8F">
        <w:t>vård</w:t>
      </w:r>
      <w:r w:rsidR="00012906">
        <w:t>g</w:t>
      </w:r>
      <w:r w:rsidR="00534D8F">
        <w:t xml:space="preserve">ivarna och huvudmännen </w:t>
      </w:r>
      <w:r w:rsidR="00012906">
        <w:t>kommer att fortsätta bedriv</w:t>
      </w:r>
      <w:r w:rsidR="00D2379F">
        <w:t>a</w:t>
      </w:r>
      <w:r w:rsidR="00012906">
        <w:t xml:space="preserve"> sina </w:t>
      </w:r>
      <w:r>
        <w:t>verksamhet</w:t>
      </w:r>
      <w:r w:rsidR="00012906">
        <w:t xml:space="preserve">er </w:t>
      </w:r>
      <w:r>
        <w:t xml:space="preserve">som vanligt, utifrån den nya lagen, även under </w:t>
      </w:r>
      <w:r w:rsidR="00285BD4">
        <w:t xml:space="preserve">den </w:t>
      </w:r>
      <w:r>
        <w:t xml:space="preserve">övergångsperiod som uppstår mellan föreskrifternas upphävande och de nya föreskrifternas ikraftträdande. Inga större risker kopplade till denna period kunde identifieras av aktörerna. </w:t>
      </w:r>
    </w:p>
    <w:p w14:paraId="071BC54F" w14:textId="1156008B" w:rsidR="00A11DB0" w:rsidRPr="00A11DB0" w:rsidRDefault="00931AAB" w:rsidP="008612D5">
      <w:pPr>
        <w:pStyle w:val="SoSBrdtextindragfrstaraden"/>
        <w:ind w:firstLine="0"/>
      </w:pPr>
      <w:bookmarkStart w:id="9" w:name="_Hlk127955122"/>
      <w:r>
        <w:t xml:space="preserve">  </w:t>
      </w:r>
      <w:r w:rsidR="001C4583">
        <w:t>Socialstyrelsen har även haft kontakt med Inspektionen för vård och omsorg (IVO)</w:t>
      </w:r>
      <w:r w:rsidR="00940195">
        <w:t xml:space="preserve"> inom ramen för ärendet</w:t>
      </w:r>
      <w:r w:rsidR="003D4AC5">
        <w:t>.</w:t>
      </w:r>
      <w:r w:rsidR="00010A35">
        <w:t xml:space="preserve"> IVO har uppmärksammat att upphävandet av föreskrifterna innebär </w:t>
      </w:r>
      <w:r w:rsidR="00AF5CC9">
        <w:t xml:space="preserve">för </w:t>
      </w:r>
      <w:proofErr w:type="spellStart"/>
      <w:r w:rsidR="00AF5CC9">
        <w:t>IVO:s</w:t>
      </w:r>
      <w:proofErr w:type="spellEnd"/>
      <w:r w:rsidR="00AF5CC9">
        <w:t xml:space="preserve"> del </w:t>
      </w:r>
      <w:r w:rsidR="00010A35">
        <w:t xml:space="preserve">att blanketten för anmälan av en biobank till </w:t>
      </w:r>
      <w:proofErr w:type="spellStart"/>
      <w:r w:rsidR="00010A35">
        <w:lastRenderedPageBreak/>
        <w:t>IVO:s</w:t>
      </w:r>
      <w:proofErr w:type="spellEnd"/>
      <w:r w:rsidR="00010A35">
        <w:t xml:space="preserve"> register </w:t>
      </w:r>
      <w:r w:rsidR="00AF5CC9">
        <w:t>(bilaga 1</w:t>
      </w:r>
      <w:r>
        <w:t>i föreskrifterna</w:t>
      </w:r>
      <w:r w:rsidR="00AF5CC9">
        <w:t xml:space="preserve">) </w:t>
      </w:r>
      <w:r w:rsidR="00010A35">
        <w:t xml:space="preserve">upphör att gälla. I samband med detta kommer IVO ta fram en blankett och även påbörja </w:t>
      </w:r>
      <w:r w:rsidR="00845F4E">
        <w:t xml:space="preserve">ett eget </w:t>
      </w:r>
      <w:r w:rsidR="00010A35">
        <w:t xml:space="preserve">föreskriftsarbete utifrån de bemyndiganden som den nya biobankslagen </w:t>
      </w:r>
      <w:r w:rsidR="00845F4E">
        <w:t xml:space="preserve">kommer </w:t>
      </w:r>
      <w:r w:rsidR="00010A35">
        <w:t>ge myndigheten.</w:t>
      </w:r>
      <w:r w:rsidR="00B03A3E">
        <w:t xml:space="preserve"> </w:t>
      </w:r>
      <w:r w:rsidR="00B03A3E" w:rsidRPr="00B03A3E">
        <w:t xml:space="preserve">Sammantaget uppger IVO att det kommer vara möjligt för myndigheten att </w:t>
      </w:r>
      <w:r w:rsidR="00E47029">
        <w:t xml:space="preserve">utöva tillsyn och inhämta uppgifter de behöver trots </w:t>
      </w:r>
      <w:r w:rsidR="00B03A3E" w:rsidRPr="00B03A3E">
        <w:t>att det under en period inte kommer att finnas några förskrifter och allmänna råd kopplade till biobankslagen.</w:t>
      </w:r>
      <w:bookmarkEnd w:id="9"/>
    </w:p>
    <w:p w14:paraId="33B6BCA2" w14:textId="77777777" w:rsidR="00A769A7" w:rsidRPr="00510DA2" w:rsidRDefault="00A769A7" w:rsidP="00A34AE8">
      <w:pPr>
        <w:pStyle w:val="SoSRubrik2"/>
      </w:pPr>
      <w:r w:rsidRPr="00510DA2">
        <w:t>Bedömning av om regleringen överensstämmer med eller går utöver de skyldigheter som följer av Sveriges anslutning till Europeiska unionen</w:t>
      </w:r>
    </w:p>
    <w:p w14:paraId="139ABCFD" w14:textId="6159F3E1" w:rsidR="00950C82" w:rsidRPr="00950C82" w:rsidRDefault="00B73863" w:rsidP="00C46950">
      <w:pPr>
        <w:pStyle w:val="SoSBrdtext"/>
      </w:pPr>
      <w:r>
        <w:t xml:space="preserve">Förslaget till upphävande av författningen </w:t>
      </w:r>
      <w:r w:rsidR="000D0EB7">
        <w:t>bedöms i</w:t>
      </w:r>
      <w:r w:rsidR="00636CDB" w:rsidRPr="00636CDB">
        <w:t>nte ha någon betydelse för de skyldigheter som följer av Sveriges anslutning till den Europeiska unionen.</w:t>
      </w:r>
    </w:p>
    <w:p w14:paraId="41F170BD" w14:textId="1EFAB498" w:rsidR="00A769A7" w:rsidRDefault="00A769A7" w:rsidP="00510DA2">
      <w:pPr>
        <w:pStyle w:val="SoSRubrik2"/>
      </w:pPr>
      <w:r>
        <w:t>Överväganden enligt 14 kap. 3 § regeringsformen</w:t>
      </w:r>
    </w:p>
    <w:p w14:paraId="12EF0057" w14:textId="5EBD8822" w:rsidR="000D0EB7" w:rsidRDefault="008A73D2" w:rsidP="000D0EB7">
      <w:pPr>
        <w:pStyle w:val="SoSBrdtext"/>
      </w:pPr>
      <w:r>
        <w:t>En inskränkning i den kommunala självstyrelsen bör enligt 14 kap. 3 § regeringsformen inte gå utöver vad som är nödvändigt med hänsyn till de ändamål som föranlett den. Bestämmelsen ger uttryck för en proportionalitetsprincip vad gäller inskränkningar i den kommunala självstyrelsen.</w:t>
      </w:r>
      <w:r w:rsidR="00231F5D">
        <w:t xml:space="preserve"> Förslaget till upphävande av författningen innebär </w:t>
      </w:r>
      <w:r w:rsidR="007D0235">
        <w:t>inte någon</w:t>
      </w:r>
      <w:r w:rsidR="00231F5D">
        <w:t xml:space="preserve"> inskränkning i den kommunala självstyrelsen.</w:t>
      </w:r>
    </w:p>
    <w:p w14:paraId="2FA01988" w14:textId="77777777" w:rsidR="00A769A7" w:rsidRDefault="00A769A7" w:rsidP="00510DA2">
      <w:pPr>
        <w:pStyle w:val="SoSRubrik2"/>
      </w:pPr>
      <w:r>
        <w:t>Effekter för företags arbetsförutsättningar, konkurrensförmåga eller villkor i övrigt</w:t>
      </w:r>
    </w:p>
    <w:p w14:paraId="2C003965" w14:textId="5F0E0A28" w:rsidR="00A769A7" w:rsidRDefault="00B720F6" w:rsidP="00434F7C">
      <w:pPr>
        <w:pStyle w:val="SoSBrdtext"/>
      </w:pPr>
      <w:r>
        <w:t xml:space="preserve">Förslaget </w:t>
      </w:r>
      <w:r w:rsidR="00B73863">
        <w:t xml:space="preserve">till upphävande av författningen </w:t>
      </w:r>
      <w:r>
        <w:t>bedöms inte få effekter av betydelse för företags arbetsförutsättningar, konkurrensförmåga eller villkor i övrigt. Konsekvensutredningen innehåller därför inte någon beskrivning enligt 7 § förordningen (2007:1244) om konsekvensutredning vid regelgivning.</w:t>
      </w:r>
    </w:p>
    <w:p w14:paraId="1FA69A01" w14:textId="77777777" w:rsidR="00A769A7" w:rsidRDefault="00A769A7" w:rsidP="00510DA2">
      <w:pPr>
        <w:pStyle w:val="SoSRubrik2"/>
      </w:pPr>
      <w:r>
        <w:t xml:space="preserve">Ikraftträdande, övergångsbestämmelser och informationsinsatser </w:t>
      </w:r>
    </w:p>
    <w:p w14:paraId="2265E3CA" w14:textId="6AE14076" w:rsidR="00F86F41" w:rsidRPr="00A43934" w:rsidRDefault="00012906" w:rsidP="00F86F41">
      <w:pPr>
        <w:pStyle w:val="SoSBrdtextindragfrstaraden"/>
        <w:ind w:firstLine="0"/>
      </w:pPr>
      <w:r>
        <w:t xml:space="preserve">Socialstyrelsen föreslår </w:t>
      </w:r>
      <w:r w:rsidR="00F86F41">
        <w:t>att föreskrift</w:t>
      </w:r>
      <w:r w:rsidR="00F62917">
        <w:t xml:space="preserve">erna </w:t>
      </w:r>
      <w:r w:rsidR="00F86F41">
        <w:t>ska</w:t>
      </w:r>
      <w:r w:rsidR="00F86F41" w:rsidRPr="00A43934">
        <w:t xml:space="preserve"> </w:t>
      </w:r>
      <w:r w:rsidR="00B73863">
        <w:t xml:space="preserve">upphöra att gälla vid utgången av </w:t>
      </w:r>
      <w:r w:rsidR="00217773">
        <w:t xml:space="preserve">juni månad </w:t>
      </w:r>
      <w:r w:rsidR="00B73863">
        <w:t>202</w:t>
      </w:r>
      <w:r w:rsidR="00217773">
        <w:t>3</w:t>
      </w:r>
      <w:r w:rsidR="00B73863">
        <w:t xml:space="preserve">. </w:t>
      </w:r>
      <w:r w:rsidR="003A69F0">
        <w:t>Socialstyrelsen har bedömt att några övergångsbestämmelser inte behövs.</w:t>
      </w:r>
    </w:p>
    <w:p w14:paraId="5C945D1C" w14:textId="2725994D" w:rsidR="00F86F41" w:rsidRDefault="008C4A60" w:rsidP="00950C82">
      <w:pPr>
        <w:pStyle w:val="SoSBrdtextindragfrstaraden"/>
      </w:pPr>
      <w:r>
        <w:t>Socialstyrelsen</w:t>
      </w:r>
      <w:r w:rsidR="00E4159E">
        <w:t xml:space="preserve"> förbereder en informationsinsats kopplad till upphävandet av biobanksföreskriften samt framtagande av nya föreskrifter och allmänna råd om biobanker.</w:t>
      </w:r>
      <w:r w:rsidR="00D64151">
        <w:t xml:space="preserve"> </w:t>
      </w:r>
    </w:p>
    <w:p w14:paraId="247142B2" w14:textId="77777777" w:rsidR="00F86F41" w:rsidRPr="00F86F41" w:rsidRDefault="00F86F41" w:rsidP="00F86F41">
      <w:pPr>
        <w:pStyle w:val="SoSBrdtextindragfrstaraden"/>
        <w:ind w:firstLine="0"/>
        <w:rPr>
          <w:lang w:eastAsia="en-US" w:bidi="en-US"/>
        </w:rPr>
      </w:pPr>
    </w:p>
    <w:p w14:paraId="04873E46" w14:textId="413E60AF" w:rsidR="00EC0DC9" w:rsidRDefault="00A769A7" w:rsidP="00EC0DC9">
      <w:pPr>
        <w:pStyle w:val="SoSRubrik2"/>
      </w:pPr>
      <w:r>
        <w:t>Kontaktperson</w:t>
      </w:r>
      <w:r w:rsidR="00511B23">
        <w:t>er</w:t>
      </w:r>
    </w:p>
    <w:p w14:paraId="6D0B3143" w14:textId="26E8EC32" w:rsidR="00D33A5D" w:rsidRDefault="00CD7BBF" w:rsidP="00D33A5D">
      <w:pPr>
        <w:pStyle w:val="SoSBrdtextindragfrstaraden"/>
        <w:ind w:firstLine="0"/>
      </w:pPr>
      <w:r>
        <w:t>Lilli Paaso</w:t>
      </w:r>
      <w:r w:rsidR="00D33A5D">
        <w:t>, jurist</w:t>
      </w:r>
      <w:r w:rsidR="00DC3ED8">
        <w:t>, Socialstyrelsen</w:t>
      </w:r>
      <w:r w:rsidR="00456F6A">
        <w:tab/>
        <w:t>Tesi Aschan, jurist, Socialstyrelsen</w:t>
      </w:r>
    </w:p>
    <w:p w14:paraId="49E68624" w14:textId="3CE98C2B" w:rsidR="00456F6A" w:rsidRPr="00A769A7" w:rsidRDefault="00771A08" w:rsidP="00456F6A">
      <w:pPr>
        <w:pStyle w:val="SoSBrdtextindragfrstaraden"/>
        <w:ind w:firstLine="0"/>
      </w:pPr>
      <w:hyperlink r:id="rId8" w:history="1">
        <w:r w:rsidR="00456F6A" w:rsidRPr="00154B28">
          <w:rPr>
            <w:rStyle w:val="Hyperlnk"/>
          </w:rPr>
          <w:t>lilli.paaso@socialstyrelsen.se</w:t>
        </w:r>
      </w:hyperlink>
      <w:bookmarkEnd w:id="4"/>
      <w:bookmarkEnd w:id="5"/>
      <w:bookmarkEnd w:id="6"/>
      <w:bookmarkEnd w:id="7"/>
      <w:r w:rsidR="00456F6A">
        <w:rPr>
          <w:rStyle w:val="Hyperlnk"/>
        </w:rPr>
        <w:tab/>
      </w:r>
      <w:r w:rsidR="00456F6A">
        <w:rPr>
          <w:rStyle w:val="Hyperlnk"/>
        </w:rPr>
        <w:tab/>
        <w:t>tesi.aschan@socialstyrelsen.se</w:t>
      </w:r>
    </w:p>
    <w:sectPr w:rsidR="00456F6A" w:rsidRPr="00A769A7" w:rsidSect="002906C5">
      <w:headerReference w:type="even" r:id="rId9"/>
      <w:headerReference w:type="default" r:id="rId10"/>
      <w:footerReference w:type="even" r:id="rId11"/>
      <w:footerReference w:type="default" r:id="rId12"/>
      <w:headerReference w:type="first" r:id="rId13"/>
      <w:footerReference w:type="first" r:id="rId14"/>
      <w:pgSz w:w="11907" w:h="16840" w:code="9"/>
      <w:pgMar w:top="2223" w:right="3260" w:bottom="1985" w:left="1498" w:header="546" w:footer="33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4469D" w14:textId="77777777" w:rsidR="009A16B5" w:rsidRDefault="009A16B5" w:rsidP="00915BAA">
      <w:r>
        <w:separator/>
      </w:r>
    </w:p>
  </w:endnote>
  <w:endnote w:type="continuationSeparator" w:id="0">
    <w:p w14:paraId="6BF5E60D" w14:textId="77777777" w:rsidR="009A16B5" w:rsidRDefault="009A16B5" w:rsidP="0091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Light">
    <w:altName w:val="Times New Roman"/>
    <w:charset w:val="00"/>
    <w:family w:val="auto"/>
    <w:pitch w:val="variable"/>
    <w:sig w:usb0="80000067" w:usb1="00000000" w:usb2="00000000" w:usb3="00000000" w:csb0="00000001" w:csb1="00000000"/>
  </w:font>
  <w:font w:name="Goudy">
    <w:altName w:val="Cambri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FA3EA" w14:textId="77777777" w:rsidR="008313B0" w:rsidRDefault="008313B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FA45F" w14:textId="77777777" w:rsidR="008313B0" w:rsidRDefault="008313B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2" w:type="pct"/>
      <w:tblBorders>
        <w:top w:val="single" w:sz="4" w:space="0" w:color="auto"/>
      </w:tblBorders>
      <w:tblLayout w:type="fixed"/>
      <w:tblCellMar>
        <w:top w:w="85" w:type="dxa"/>
        <w:left w:w="0" w:type="dxa"/>
        <w:right w:w="0" w:type="dxa"/>
      </w:tblCellMar>
      <w:tblLook w:val="04A0" w:firstRow="1" w:lastRow="0" w:firstColumn="1" w:lastColumn="0" w:noHBand="0" w:noVBand="1"/>
    </w:tblPr>
    <w:tblGrid>
      <w:gridCol w:w="2114"/>
      <w:gridCol w:w="2436"/>
      <w:gridCol w:w="2645"/>
    </w:tblGrid>
    <w:tr w:rsidR="00B26CC6" w:rsidRPr="006167F6" w14:paraId="497FCCB0" w14:textId="77777777" w:rsidTr="004D2D2B">
      <w:trPr>
        <w:trHeight w:hRule="exact" w:val="907"/>
      </w:trPr>
      <w:tc>
        <w:tcPr>
          <w:tcW w:w="2114" w:type="dxa"/>
          <w:tcMar>
            <w:top w:w="0" w:type="dxa"/>
            <w:left w:w="0" w:type="dxa"/>
          </w:tcMar>
        </w:tcPr>
        <w:p w14:paraId="2F46864D" w14:textId="77777777" w:rsidR="00B26CC6" w:rsidRDefault="00B26CC6" w:rsidP="00915BAA">
          <w:pPr>
            <w:pStyle w:val="SoSSidfot"/>
          </w:pPr>
          <w:bookmarkStart w:id="10" w:name="OLE_LINK1"/>
          <w:r w:rsidRPr="006167F6">
            <w:t>SOCIALSTYRELSEN</w:t>
          </w:r>
        </w:p>
        <w:p w14:paraId="3F9AF26B" w14:textId="77777777" w:rsidR="00B26CC6" w:rsidRPr="006167F6" w:rsidRDefault="00B26CC6" w:rsidP="00915BAA">
          <w:pPr>
            <w:pStyle w:val="SoSSidfot"/>
          </w:pPr>
          <w:r>
            <w:t>106 30 Stockholm</w:t>
          </w:r>
        </w:p>
        <w:p w14:paraId="3652C06C" w14:textId="77777777" w:rsidR="00B26CC6" w:rsidRPr="006167F6" w:rsidRDefault="00B26CC6" w:rsidP="00915BAA">
          <w:pPr>
            <w:pStyle w:val="SoSSidfot"/>
          </w:pPr>
        </w:p>
      </w:tc>
      <w:tc>
        <w:tcPr>
          <w:tcW w:w="2436" w:type="dxa"/>
          <w:tcMar>
            <w:left w:w="0" w:type="dxa"/>
          </w:tcMar>
        </w:tcPr>
        <w:p w14:paraId="1FACC900" w14:textId="77777777" w:rsidR="00B26CC6" w:rsidRPr="006167F6" w:rsidRDefault="00B26CC6" w:rsidP="00915BAA">
          <w:pPr>
            <w:pStyle w:val="SoSSidfot"/>
          </w:pPr>
          <w:r w:rsidRPr="006167F6">
            <w:t>Telefon 075-247 30 00</w:t>
          </w:r>
        </w:p>
        <w:p w14:paraId="42A7CFB4" w14:textId="77777777" w:rsidR="00B26CC6" w:rsidRPr="006167F6" w:rsidRDefault="00B26CC6" w:rsidP="00915BAA">
          <w:pPr>
            <w:pStyle w:val="SoSSidfot"/>
          </w:pPr>
          <w:r w:rsidRPr="006167F6">
            <w:t>Fax</w:t>
          </w:r>
          <w:r w:rsidRPr="006167F6">
            <w:t> </w:t>
          </w:r>
          <w:r>
            <w:t>075-247 32 52</w:t>
          </w:r>
        </w:p>
      </w:tc>
      <w:tc>
        <w:tcPr>
          <w:tcW w:w="2645" w:type="dxa"/>
          <w:tcMar>
            <w:left w:w="0" w:type="dxa"/>
          </w:tcMar>
        </w:tcPr>
        <w:p w14:paraId="3AD809E7" w14:textId="77777777" w:rsidR="00B26CC6" w:rsidRPr="00BE1A57" w:rsidRDefault="00B26CC6" w:rsidP="00915BAA">
          <w:pPr>
            <w:pStyle w:val="SoSSidfot"/>
          </w:pPr>
          <w:r w:rsidRPr="00BE1A57">
            <w:t>socialstyrelsen@socialstyrelsen.se</w:t>
          </w:r>
        </w:p>
        <w:p w14:paraId="0D00B0C6" w14:textId="77777777" w:rsidR="00B26CC6" w:rsidRPr="00BE1A57" w:rsidRDefault="00B26CC6" w:rsidP="00915BAA">
          <w:pPr>
            <w:pStyle w:val="SoSSidfot"/>
          </w:pPr>
          <w:r w:rsidRPr="00BE1A57">
            <w:t>www.socialstyrelsen.se</w:t>
          </w:r>
        </w:p>
        <w:p w14:paraId="6E8A44D7" w14:textId="77777777" w:rsidR="00B26CC6" w:rsidRPr="006167F6" w:rsidRDefault="00B26CC6" w:rsidP="00915BAA">
          <w:pPr>
            <w:pStyle w:val="SoSSidfot"/>
          </w:pPr>
        </w:p>
      </w:tc>
    </w:tr>
    <w:bookmarkEnd w:id="10"/>
  </w:tbl>
  <w:p w14:paraId="46DC5B05" w14:textId="77777777" w:rsidR="00B26CC6" w:rsidRDefault="00B26CC6" w:rsidP="00915B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A6DC8" w14:textId="77777777" w:rsidR="009A16B5" w:rsidRDefault="009A16B5" w:rsidP="00915BAA">
      <w:r>
        <w:separator/>
      </w:r>
    </w:p>
  </w:footnote>
  <w:footnote w:type="continuationSeparator" w:id="0">
    <w:p w14:paraId="12B9D2BC" w14:textId="77777777" w:rsidR="009A16B5" w:rsidRDefault="009A16B5" w:rsidP="00915BAA">
      <w:r>
        <w:continuationSeparator/>
      </w:r>
    </w:p>
  </w:footnote>
  <w:footnote w:id="1">
    <w:p w14:paraId="1262AA69" w14:textId="77777777" w:rsidR="00D873DD" w:rsidRDefault="00D873DD" w:rsidP="00D873DD">
      <w:pPr>
        <w:pStyle w:val="Fotnotstext"/>
      </w:pPr>
      <w:r>
        <w:rPr>
          <w:rStyle w:val="Fotnotsreferens"/>
        </w:rPr>
        <w:footnoteRef/>
      </w:r>
      <w:r>
        <w:t xml:space="preserve"> Regeringens proposition</w:t>
      </w:r>
      <w:r w:rsidRPr="00797AF9">
        <w:rPr>
          <w:i/>
        </w:rPr>
        <w:t xml:space="preserve"> </w:t>
      </w:r>
      <w:proofErr w:type="gramStart"/>
      <w:r w:rsidRPr="00797AF9">
        <w:rPr>
          <w:i/>
        </w:rPr>
        <w:t>En ny biobankslag</w:t>
      </w:r>
      <w:proofErr w:type="gramEnd"/>
      <w:r>
        <w:t>, prop. 2021/22:257, s. 27.</w:t>
      </w:r>
    </w:p>
  </w:footnote>
  <w:footnote w:id="2">
    <w:p w14:paraId="155879AB" w14:textId="77777777" w:rsidR="0082014D" w:rsidRDefault="0082014D" w:rsidP="0082014D">
      <w:pPr>
        <w:pStyle w:val="Fotnotstext"/>
      </w:pPr>
      <w:r>
        <w:rPr>
          <w:rStyle w:val="Fotnotsreferens"/>
        </w:rPr>
        <w:footnoteRef/>
      </w:r>
      <w:r>
        <w:t xml:space="preserve"> Prop. 2021/22:257, s. 242.</w:t>
      </w:r>
    </w:p>
  </w:footnote>
  <w:footnote w:id="3">
    <w:p w14:paraId="5D6D5B34" w14:textId="77777777" w:rsidR="001F17BE" w:rsidRDefault="001F17BE" w:rsidP="001F17BE">
      <w:pPr>
        <w:pStyle w:val="Fotnotstext"/>
      </w:pPr>
      <w:r>
        <w:rPr>
          <w:rStyle w:val="Fotnotsreferens"/>
        </w:rPr>
        <w:footnoteRef/>
      </w:r>
      <w:r>
        <w:t xml:space="preserve"> Därmed omfattar inte lagen prover som samlas in utanför hälso- och sjukvården.</w:t>
      </w:r>
    </w:p>
  </w:footnote>
  <w:footnote w:id="4">
    <w:p w14:paraId="4750D513" w14:textId="77777777" w:rsidR="001F17BE" w:rsidRDefault="001F17BE" w:rsidP="001F17BE">
      <w:pPr>
        <w:pStyle w:val="Fotnotstext"/>
      </w:pPr>
      <w:r>
        <w:rPr>
          <w:rStyle w:val="Fotnotsreferens"/>
        </w:rPr>
        <w:footnoteRef/>
      </w:r>
      <w:r>
        <w:t xml:space="preserve"> 1 kap. 1 § SOSFS 2002:11.</w:t>
      </w:r>
    </w:p>
  </w:footnote>
  <w:footnote w:id="5">
    <w:p w14:paraId="030B050F" w14:textId="77777777" w:rsidR="001F17BE" w:rsidRDefault="001F17BE" w:rsidP="001F17BE">
      <w:pPr>
        <w:pStyle w:val="Fotnotstext"/>
      </w:pPr>
      <w:r>
        <w:rPr>
          <w:rStyle w:val="Fotnotsreferens"/>
        </w:rPr>
        <w:footnoteRef/>
      </w:r>
      <w:r>
        <w:t xml:space="preserve"> 1 kap. 3 § den nya biobankslagen.</w:t>
      </w:r>
    </w:p>
  </w:footnote>
  <w:footnote w:id="6">
    <w:p w14:paraId="58CDCB0B" w14:textId="77777777" w:rsidR="001F17BE" w:rsidRDefault="001F17BE" w:rsidP="001F17BE">
      <w:pPr>
        <w:pStyle w:val="Fotnotstext"/>
      </w:pPr>
      <w:r>
        <w:rPr>
          <w:rStyle w:val="Fotnotsreferens"/>
        </w:rPr>
        <w:footnoteRef/>
      </w:r>
      <w:r>
        <w:t xml:space="preserve"> Lagen ska vara tillämplig även om ett prov samlats in för ändamål som faller utanför biobankslagen tillämpningsområde om provet i fråga används för något av de ändamål som lagen omfattar.</w:t>
      </w:r>
    </w:p>
  </w:footnote>
  <w:footnote w:id="7">
    <w:p w14:paraId="015BF46C" w14:textId="77777777" w:rsidR="00655A48" w:rsidRDefault="00655A48" w:rsidP="00655A48">
      <w:pPr>
        <w:pStyle w:val="Fotnotstext"/>
      </w:pPr>
      <w:r>
        <w:rPr>
          <w:rStyle w:val="Fotnotsreferens"/>
        </w:rPr>
        <w:footnoteRef/>
      </w:r>
      <w:r>
        <w:t xml:space="preserve"> Enligt lagen (1995:831) om transplantation m.m., i enlighet med 1 kap. 3 § andra stycket biobankslagen.</w:t>
      </w:r>
    </w:p>
  </w:footnote>
  <w:footnote w:id="8">
    <w:p w14:paraId="3FBC7481" w14:textId="77777777" w:rsidR="00655A48" w:rsidRDefault="00655A48" w:rsidP="00655A48">
      <w:pPr>
        <w:pStyle w:val="Fotnotstext"/>
      </w:pPr>
      <w:r>
        <w:rPr>
          <w:rStyle w:val="Fotnotsreferens"/>
        </w:rPr>
        <w:footnoteRef/>
      </w:r>
      <w:r>
        <w:t xml:space="preserve"> Som en ny utgångspunkt tillämpas lagen endast på ett prov som bevaras i mer än nio månader efter provtagningstillfället. Lagen ska dock tillämpas på provet även innan dess om 1. Avsikten är att bevara prover i mer än nio månader, eller 2. Provet inte förstörs omedelbart efter att det har analyserats enligt 1 kap. 4 § den nya biobankslagen. Däremot omfattas vävnadsprover inte av föreskrifterna, om de sparas en kortare tid efter utförd primär analys, som regel två månader, 1 kap. 4 § SOSFS2002:11.</w:t>
      </w:r>
    </w:p>
  </w:footnote>
  <w:footnote w:id="9">
    <w:p w14:paraId="3BCE4538" w14:textId="77777777" w:rsidR="00655A48" w:rsidRDefault="00655A48" w:rsidP="00655A48">
      <w:pPr>
        <w:pStyle w:val="Fotnotstext"/>
      </w:pPr>
      <w:r>
        <w:rPr>
          <w:rStyle w:val="Fotnotsreferens"/>
        </w:rPr>
        <w:footnoteRef/>
      </w:r>
      <w:r>
        <w:t xml:space="preserve"> 1 kap. 3 § fjärde stycket biobankslagen.</w:t>
      </w:r>
    </w:p>
  </w:footnote>
  <w:footnote w:id="10">
    <w:p w14:paraId="734237CD" w14:textId="6AF522BB" w:rsidR="00655A48" w:rsidRDefault="00655A48" w:rsidP="00655A48">
      <w:pPr>
        <w:pStyle w:val="Fotnotstext"/>
      </w:pPr>
      <w:r>
        <w:rPr>
          <w:rStyle w:val="Fotnotsreferens"/>
        </w:rPr>
        <w:footnoteRef/>
      </w:r>
      <w:r>
        <w:t xml:space="preserve"> 1 kap. 3 § den nya biobankslagen.</w:t>
      </w:r>
    </w:p>
  </w:footnote>
  <w:footnote w:id="11">
    <w:p w14:paraId="4A98CA67" w14:textId="07C59E0E" w:rsidR="00D53CF4" w:rsidRDefault="00D53CF4">
      <w:pPr>
        <w:pStyle w:val="Fotnotstext"/>
      </w:pPr>
      <w:r>
        <w:rPr>
          <w:rStyle w:val="Fotnotsreferens"/>
        </w:rPr>
        <w:footnoteRef/>
      </w:r>
      <w:r>
        <w:t xml:space="preserve"> 2 kap. 5 § den nya biobankslagen.</w:t>
      </w:r>
    </w:p>
  </w:footnote>
  <w:footnote w:id="12">
    <w:p w14:paraId="4E63B818" w14:textId="77777777" w:rsidR="00655A48" w:rsidRDefault="00655A48" w:rsidP="00655A48">
      <w:pPr>
        <w:pStyle w:val="Fotnotstext"/>
      </w:pPr>
      <w:r>
        <w:rPr>
          <w:rStyle w:val="Fotnotsreferens"/>
        </w:rPr>
        <w:footnoteRef/>
      </w:r>
      <w:r>
        <w:t xml:space="preserve"> 3 kap. 1 § biobankslagen.</w:t>
      </w:r>
    </w:p>
  </w:footnote>
  <w:footnote w:id="13">
    <w:p w14:paraId="629A5E0A" w14:textId="77777777" w:rsidR="00655A48" w:rsidRDefault="00655A48" w:rsidP="00655A48">
      <w:pPr>
        <w:pStyle w:val="Fotnotstext"/>
      </w:pPr>
      <w:r>
        <w:rPr>
          <w:rStyle w:val="Fotnotsreferens"/>
        </w:rPr>
        <w:footnoteRef/>
      </w:r>
      <w:r>
        <w:t xml:space="preserve"> Gäller under förutsättning att provgivaren inte har motsatt sig sådant insamlande, bevarande eller användande, 4 kap. 7 § den nya biobankslagen.</w:t>
      </w:r>
    </w:p>
  </w:footnote>
  <w:footnote w:id="14">
    <w:p w14:paraId="11E05D92" w14:textId="59B6E1F2" w:rsidR="003A032B" w:rsidRDefault="003A032B">
      <w:pPr>
        <w:pStyle w:val="Fotnotstext"/>
      </w:pPr>
      <w:r>
        <w:rPr>
          <w:rStyle w:val="Fotnotsreferens"/>
        </w:rPr>
        <w:footnoteRef/>
      </w:r>
      <w:r>
        <w:t xml:space="preserve"> 4 kap. 5 § den nya biobankslagen.</w:t>
      </w:r>
    </w:p>
  </w:footnote>
  <w:footnote w:id="15">
    <w:p w14:paraId="1C6A2280" w14:textId="2607D833" w:rsidR="003A032B" w:rsidRDefault="003A032B">
      <w:pPr>
        <w:pStyle w:val="Fotnotstext"/>
      </w:pPr>
      <w:r>
        <w:rPr>
          <w:rStyle w:val="Fotnotsreferens"/>
        </w:rPr>
        <w:footnoteRef/>
      </w:r>
      <w:r>
        <w:t xml:space="preserve"> 4 kap. 8 § den nya biobankslagen.</w:t>
      </w:r>
    </w:p>
  </w:footnote>
  <w:footnote w:id="16">
    <w:p w14:paraId="153935BA" w14:textId="2C87EDA7" w:rsidR="00655A48" w:rsidRDefault="00655A48" w:rsidP="00444C4B">
      <w:pPr>
        <w:pStyle w:val="SoSBrdtextindragfrstaraden"/>
        <w:spacing w:line="240" w:lineRule="auto"/>
        <w:ind w:firstLine="0"/>
      </w:pPr>
      <w:r w:rsidRPr="00DA4815">
        <w:rPr>
          <w:rStyle w:val="Fotnotsreferens"/>
          <w:sz w:val="15"/>
        </w:rPr>
        <w:footnoteRef/>
      </w:r>
      <w:r>
        <w:t xml:space="preserve"> </w:t>
      </w:r>
      <w:r w:rsidRPr="00DA4815">
        <w:rPr>
          <w:sz w:val="15"/>
        </w:rPr>
        <w:t>5 kap. den nya biobankslagen. Generell subsidiaritet avskaffas vilket innebär att avvikande bestämmelser i annan lagstiftning inte längre har generellt företräde framför den nya biobankslagen.</w:t>
      </w:r>
    </w:p>
  </w:footnote>
  <w:footnote w:id="17">
    <w:p w14:paraId="278F977C" w14:textId="77777777" w:rsidR="00CF1F8D" w:rsidRDefault="00CF1F8D" w:rsidP="00CF1F8D">
      <w:pPr>
        <w:pStyle w:val="Fotnotstext"/>
      </w:pPr>
      <w:r>
        <w:rPr>
          <w:rStyle w:val="Fotnotsreferens"/>
        </w:rPr>
        <w:footnoteRef/>
      </w:r>
      <w:r>
        <w:t xml:space="preserve"> Exempelvis regleras anmälan till Inspektionen för vård och omsorg i 3 kap. SOSFS 2002:11.</w:t>
      </w:r>
    </w:p>
  </w:footnote>
  <w:footnote w:id="18">
    <w:p w14:paraId="4AB331E9" w14:textId="77777777" w:rsidR="00CF1F8D" w:rsidRDefault="00CF1F8D" w:rsidP="00CF1F8D">
      <w:pPr>
        <w:pStyle w:val="Fotnotstext"/>
      </w:pPr>
      <w:r>
        <w:rPr>
          <w:rStyle w:val="Fotnotsreferens"/>
        </w:rPr>
        <w:footnoteRef/>
      </w:r>
      <w:r>
        <w:t xml:space="preserve"> Av 4 kap. 2 § tredje stycket SOSFS 2002:11 framgår att läkaren ska kontrollera om den avlidne har lämnat samtycke om ett vävnadsprov från en avliden ska sparas. Den nya biobankslagen utgår dock från ett presumerat samtycke och omfattar inte själva provtagningen som sker före det att den nya lagen blir tillämplig. SOSFS 2002:11 innehåller även andra bestämmelser om provtagning, se 4 kap. Enligt föreskrifterna ska vårdgivaren bl.a. ta fram skriftliga rutiner för verksamheten. En biobank inrättas dock av en huvudman, som definieras som juridisk person som innehar en biobank, enligt 2 kap. 1 § den nya biobankslagen. Den som är ansvarig för en biobank, ska se till att ett vävnadsprov omedelbart gallras ut och förstörs eller avidentifieras om bl.a. samtycket har återkallats, 5 kap. 6 § SOSFS 2002:11. Av den nya biobankslagen framgår att provet omedelbart förstörs om återkallelsen avser samtycke till bevarandet av provet eller till all användning av detsamma. Om det inte är möjligt att förstöra provet utan att andra prover förstörs, ansvarar den som är ansvarig för biobanken att provet omedelbart avidentifieras, 4 kap. 13 § den nya biobankslagen. Enligt 6 kap. 7 § SOSFS 2002:11 krävs medgivande av Inspektionen för vård och omsorg för att få lägga ner en biobank. Av 6 kap. 1 § den nya biobankslagen framgår att huvudmannen för en biobank får besluta att biobanken eller att en eller flera provsamlingar ska läggas ned. Om en biobank läggs ned, ansvarar huvudmannen för att beslutet om nedläggning anmäls till Inspektionen för vård och omsorg. </w:t>
      </w:r>
    </w:p>
  </w:footnote>
  <w:footnote w:id="19">
    <w:p w14:paraId="5FFAFBCF" w14:textId="77777777" w:rsidR="00A11DB0" w:rsidRDefault="00A11DB0" w:rsidP="00A11DB0">
      <w:pPr>
        <w:pStyle w:val="Fotnotstext"/>
      </w:pPr>
      <w:r>
        <w:rPr>
          <w:rStyle w:val="Fotnotsreferens"/>
        </w:rPr>
        <w:footnoteRef/>
      </w:r>
      <w:r>
        <w:t xml:space="preserve"> 4 kap. 9 § SOSFS 2002:11.</w:t>
      </w:r>
    </w:p>
  </w:footnote>
  <w:footnote w:id="20">
    <w:p w14:paraId="3A9B1F7F" w14:textId="77777777" w:rsidR="00A11DB0" w:rsidRDefault="00A11DB0" w:rsidP="00A11DB0">
      <w:pPr>
        <w:pStyle w:val="Fotnotstext"/>
      </w:pPr>
      <w:r>
        <w:rPr>
          <w:rStyle w:val="Fotnotsreferens"/>
        </w:rPr>
        <w:footnoteRef/>
      </w:r>
      <w:r>
        <w:t xml:space="preserve"> 4 kap. 5 § SOSFS 2002:11.</w:t>
      </w:r>
    </w:p>
  </w:footnote>
  <w:footnote w:id="21">
    <w:p w14:paraId="4BB47E00" w14:textId="4E0EA31F" w:rsidR="00076363" w:rsidRDefault="00076363">
      <w:pPr>
        <w:pStyle w:val="Fotnotstext"/>
      </w:pPr>
      <w:r>
        <w:rPr>
          <w:rStyle w:val="Fotnotsreferens"/>
        </w:rPr>
        <w:footnoteRef/>
      </w:r>
      <w:r>
        <w:t xml:space="preserve"> Av förarbetena framgår dock att om provgivaren återfår sin beslutsförmåga finns det inte längre stöd för att bevara provet utan samtycke. I ett sådant fall tillämpas den generella samtyckesbestämmelsen,</w:t>
      </w:r>
      <w:r w:rsidRPr="00076363">
        <w:t xml:space="preserve"> </w:t>
      </w:r>
      <w:r>
        <w:t>prop. 2021/22:257, s. 145.</w:t>
      </w:r>
    </w:p>
  </w:footnote>
  <w:footnote w:id="22">
    <w:p w14:paraId="6C14292B" w14:textId="77777777" w:rsidR="00A11DB0" w:rsidRDefault="00A11DB0" w:rsidP="00A11DB0">
      <w:pPr>
        <w:pStyle w:val="Fotnotstext"/>
      </w:pPr>
      <w:r>
        <w:rPr>
          <w:rStyle w:val="Fotnotsreferens"/>
        </w:rPr>
        <w:footnoteRef/>
      </w:r>
      <w:r>
        <w:t xml:space="preserve"> 5 kap. 3 § den nya biobankslagen.</w:t>
      </w:r>
    </w:p>
  </w:footnote>
  <w:footnote w:id="23">
    <w:p w14:paraId="5C7C5540" w14:textId="77777777" w:rsidR="00A11DB0" w:rsidRDefault="00A11DB0" w:rsidP="00A11DB0">
      <w:pPr>
        <w:pStyle w:val="Fotnotstext"/>
      </w:pPr>
      <w:r>
        <w:rPr>
          <w:rStyle w:val="Fotnotsreferens"/>
        </w:rPr>
        <w:footnoteRef/>
      </w:r>
      <w:r>
        <w:t xml:space="preserve"> 5 kap. 1 § SOSFS 2002:11.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2C491" w14:textId="77777777" w:rsidR="008313B0" w:rsidRDefault="008313B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942" w:type="pct"/>
      <w:tblInd w:w="-42" w:type="dxa"/>
      <w:tblLayout w:type="fixed"/>
      <w:tblCellMar>
        <w:left w:w="28" w:type="dxa"/>
        <w:right w:w="28" w:type="dxa"/>
      </w:tblCellMar>
      <w:tblLook w:val="0000" w:firstRow="0" w:lastRow="0" w:firstColumn="0" w:lastColumn="0" w:noHBand="0" w:noVBand="0"/>
    </w:tblPr>
    <w:tblGrid>
      <w:gridCol w:w="4964"/>
      <w:gridCol w:w="1277"/>
      <w:gridCol w:w="2752"/>
      <w:gridCol w:w="933"/>
    </w:tblGrid>
    <w:tr w:rsidR="00B26CC6" w:rsidRPr="00403F57" w14:paraId="26E14DF2" w14:textId="77777777" w:rsidTr="001318B8">
      <w:trPr>
        <w:trHeight w:val="458"/>
      </w:trPr>
      <w:tc>
        <w:tcPr>
          <w:tcW w:w="4984" w:type="dxa"/>
          <w:tcMar>
            <w:left w:w="0" w:type="dxa"/>
            <w:bottom w:w="85" w:type="dxa"/>
          </w:tcMar>
          <w:vAlign w:val="center"/>
        </w:tcPr>
        <w:p w14:paraId="69C5E16E" w14:textId="77777777" w:rsidR="00B26CC6" w:rsidRPr="00403F57" w:rsidRDefault="00B26CC6" w:rsidP="00915BAA">
          <w:pPr>
            <w:pStyle w:val="Sidhuvud"/>
          </w:pPr>
        </w:p>
      </w:tc>
      <w:tc>
        <w:tcPr>
          <w:tcW w:w="4045" w:type="dxa"/>
          <w:gridSpan w:val="2"/>
          <w:tcMar>
            <w:top w:w="96" w:type="dxa"/>
            <w:bottom w:w="0" w:type="dxa"/>
          </w:tcMar>
          <w:vAlign w:val="bottom"/>
        </w:tcPr>
        <w:p w14:paraId="67663869" w14:textId="77777777" w:rsidR="00B26CC6" w:rsidRPr="000E02DE" w:rsidRDefault="00B26CC6" w:rsidP="00915BAA">
          <w:pPr>
            <w:pStyle w:val="Adress-brev"/>
          </w:pPr>
        </w:p>
      </w:tc>
      <w:tc>
        <w:tcPr>
          <w:tcW w:w="936" w:type="dxa"/>
        </w:tcPr>
        <w:p w14:paraId="578F1339" w14:textId="77777777" w:rsidR="00B26CC6" w:rsidRPr="00403F57" w:rsidRDefault="00B26CC6" w:rsidP="00915BAA">
          <w:pPr>
            <w:pStyle w:val="Sidhuvud"/>
          </w:pPr>
        </w:p>
      </w:tc>
    </w:tr>
    <w:tr w:rsidR="00B26CC6" w:rsidRPr="00403F57" w14:paraId="415A129F" w14:textId="77777777" w:rsidTr="001318B8">
      <w:trPr>
        <w:trHeight w:val="414"/>
      </w:trPr>
      <w:tc>
        <w:tcPr>
          <w:tcW w:w="4984" w:type="dxa"/>
          <w:tcMar>
            <w:left w:w="0" w:type="dxa"/>
            <w:bottom w:w="85" w:type="dxa"/>
          </w:tcMar>
        </w:tcPr>
        <w:p w14:paraId="2C780765" w14:textId="77777777" w:rsidR="00B26CC6" w:rsidRPr="00403F57" w:rsidRDefault="00B26CC6" w:rsidP="00915BAA">
          <w:pPr>
            <w:pStyle w:val="SoSDatum"/>
          </w:pPr>
          <w:r>
            <w:t>SOCIALSTYRELSEN</w:t>
          </w:r>
        </w:p>
      </w:tc>
      <w:tc>
        <w:tcPr>
          <w:tcW w:w="1282" w:type="dxa"/>
          <w:tcMar>
            <w:top w:w="0" w:type="dxa"/>
            <w:bottom w:w="45" w:type="dxa"/>
          </w:tcMar>
        </w:tcPr>
        <w:p w14:paraId="13C0764D" w14:textId="610A2EF8" w:rsidR="00B26CC6" w:rsidRPr="000E02DE" w:rsidRDefault="003819B1" w:rsidP="001A4A2D">
          <w:pPr>
            <w:pStyle w:val="SoSDatum"/>
          </w:pPr>
          <w:r>
            <w:t>20</w:t>
          </w:r>
          <w:r w:rsidR="00B73863">
            <w:t>2</w:t>
          </w:r>
          <w:r w:rsidR="00E11E2B">
            <w:t>3</w:t>
          </w:r>
          <w:r>
            <w:t>-</w:t>
          </w:r>
          <w:r w:rsidR="00E11E2B">
            <w:t>0</w:t>
          </w:r>
          <w:r w:rsidR="008313B0">
            <w:t>4</w:t>
          </w:r>
          <w:r w:rsidR="002C356E">
            <w:t>-</w:t>
          </w:r>
          <w:r w:rsidR="008313B0">
            <w:t>04</w:t>
          </w:r>
        </w:p>
      </w:tc>
      <w:tc>
        <w:tcPr>
          <w:tcW w:w="2763" w:type="dxa"/>
        </w:tcPr>
        <w:p w14:paraId="59871BD2" w14:textId="77777777" w:rsidR="00B26CC6" w:rsidRPr="000E02DE" w:rsidRDefault="00771A08" w:rsidP="00FE74C7">
          <w:pPr>
            <w:pStyle w:val="SoSDiarienummer"/>
          </w:pPr>
          <w:sdt>
            <w:sdtPr>
              <w:tag w:val="cntDnr"/>
              <w:id w:val="-652137007"/>
            </w:sdtPr>
            <w:sdtEndPr/>
            <w:sdtContent>
              <w:r w:rsidR="002E4789">
                <w:t xml:space="preserve"> </w:t>
              </w:r>
            </w:sdtContent>
          </w:sdt>
        </w:p>
      </w:tc>
      <w:tc>
        <w:tcPr>
          <w:tcW w:w="936" w:type="dxa"/>
        </w:tcPr>
        <w:p w14:paraId="2F433BCE" w14:textId="5D1446E7" w:rsidR="00B26CC6" w:rsidRPr="000E02DE" w:rsidRDefault="00B26CC6" w:rsidP="00915BAA">
          <w:pPr>
            <w:pStyle w:val="Datum"/>
          </w:pPr>
          <w:r w:rsidRPr="000E02DE">
            <w:rPr>
              <w:rStyle w:val="Sidnummer"/>
            </w:rPr>
            <w:fldChar w:fldCharType="begin"/>
          </w:r>
          <w:r w:rsidRPr="000E02DE">
            <w:rPr>
              <w:rStyle w:val="Sidnummer"/>
            </w:rPr>
            <w:instrText xml:space="preserve"> PAGE </w:instrText>
          </w:r>
          <w:r w:rsidRPr="000E02DE">
            <w:rPr>
              <w:rStyle w:val="Sidnummer"/>
            </w:rPr>
            <w:fldChar w:fldCharType="separate"/>
          </w:r>
          <w:r w:rsidR="005B4EBF">
            <w:rPr>
              <w:rStyle w:val="Sidnummer"/>
              <w:noProof/>
            </w:rPr>
            <w:t>2</w:t>
          </w:r>
          <w:r w:rsidRPr="000E02DE">
            <w:rPr>
              <w:rStyle w:val="Sidnummer"/>
            </w:rPr>
            <w:fldChar w:fldCharType="end"/>
          </w:r>
          <w:r w:rsidRPr="000E02DE">
            <w:rPr>
              <w:rStyle w:val="Sidnummer"/>
            </w:rPr>
            <w:t>(</w:t>
          </w:r>
          <w:r w:rsidRPr="000E02DE">
            <w:rPr>
              <w:rStyle w:val="Sidnummer"/>
            </w:rPr>
            <w:fldChar w:fldCharType="begin"/>
          </w:r>
          <w:r w:rsidRPr="000E02DE">
            <w:rPr>
              <w:rStyle w:val="Sidnummer"/>
            </w:rPr>
            <w:instrText xml:space="preserve"> NUMPAGES </w:instrText>
          </w:r>
          <w:r w:rsidRPr="000E02DE">
            <w:rPr>
              <w:rStyle w:val="Sidnummer"/>
            </w:rPr>
            <w:fldChar w:fldCharType="separate"/>
          </w:r>
          <w:r w:rsidR="005B4EBF">
            <w:rPr>
              <w:rStyle w:val="Sidnummer"/>
              <w:noProof/>
            </w:rPr>
            <w:t>6</w:t>
          </w:r>
          <w:r w:rsidRPr="000E02DE">
            <w:rPr>
              <w:rStyle w:val="Sidnummer"/>
            </w:rPr>
            <w:fldChar w:fldCharType="end"/>
          </w:r>
          <w:r w:rsidRPr="000E02DE">
            <w:rPr>
              <w:rStyle w:val="Sidnummer"/>
            </w:rPr>
            <w:t>)</w:t>
          </w:r>
        </w:p>
      </w:tc>
    </w:tr>
  </w:tbl>
  <w:p w14:paraId="37892DDC" w14:textId="77777777" w:rsidR="00B26CC6" w:rsidRDefault="00B26CC6" w:rsidP="00915BA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942" w:type="pct"/>
      <w:tblInd w:w="-42" w:type="dxa"/>
      <w:tblLayout w:type="fixed"/>
      <w:tblCellMar>
        <w:left w:w="28" w:type="dxa"/>
        <w:right w:w="28" w:type="dxa"/>
      </w:tblCellMar>
      <w:tblLook w:val="0000" w:firstRow="0" w:lastRow="0" w:firstColumn="0" w:lastColumn="0" w:noHBand="0" w:noVBand="0"/>
    </w:tblPr>
    <w:tblGrid>
      <w:gridCol w:w="4964"/>
      <w:gridCol w:w="1277"/>
      <w:gridCol w:w="2752"/>
      <w:gridCol w:w="933"/>
    </w:tblGrid>
    <w:tr w:rsidR="00B26CC6" w:rsidRPr="00403F57" w14:paraId="2CF78CD0" w14:textId="77777777" w:rsidTr="001318B8">
      <w:trPr>
        <w:trHeight w:val="458"/>
      </w:trPr>
      <w:tc>
        <w:tcPr>
          <w:tcW w:w="4984" w:type="dxa"/>
          <w:vMerge w:val="restart"/>
          <w:tcMar>
            <w:left w:w="0" w:type="dxa"/>
            <w:bottom w:w="85" w:type="dxa"/>
          </w:tcMar>
          <w:vAlign w:val="center"/>
        </w:tcPr>
        <w:p w14:paraId="3CC22101" w14:textId="77777777" w:rsidR="00B26CC6" w:rsidRPr="00403F57" w:rsidRDefault="00B26CC6" w:rsidP="00915BAA">
          <w:pPr>
            <w:pStyle w:val="Sidhuvud"/>
          </w:pPr>
        </w:p>
      </w:tc>
      <w:sdt>
        <w:sdtPr>
          <w:tag w:val="cntDokumentbeteckning"/>
          <w:id w:val="38783742"/>
        </w:sdtPr>
        <w:sdtEndPr/>
        <w:sdtContent>
          <w:tc>
            <w:tcPr>
              <w:tcW w:w="4045" w:type="dxa"/>
              <w:gridSpan w:val="2"/>
              <w:tcMar>
                <w:top w:w="96" w:type="dxa"/>
                <w:bottom w:w="0" w:type="dxa"/>
              </w:tcMar>
              <w:vAlign w:val="bottom"/>
            </w:tcPr>
            <w:p w14:paraId="7E78E73F" w14:textId="77777777" w:rsidR="00B26CC6" w:rsidRPr="000E02DE" w:rsidRDefault="002E4789" w:rsidP="00915BAA">
              <w:pPr>
                <w:pStyle w:val="SoSDokumentbeteckning"/>
              </w:pPr>
              <w:r>
                <w:t>Konsekvensutredning</w:t>
              </w:r>
            </w:p>
          </w:tc>
        </w:sdtContent>
      </w:sdt>
      <w:tc>
        <w:tcPr>
          <w:tcW w:w="936" w:type="dxa"/>
        </w:tcPr>
        <w:p w14:paraId="7F4C4B74" w14:textId="77777777" w:rsidR="00B26CC6" w:rsidRPr="00403F57" w:rsidRDefault="00B26CC6" w:rsidP="00915BAA">
          <w:pPr>
            <w:pStyle w:val="Sidhuvud"/>
          </w:pPr>
        </w:p>
      </w:tc>
    </w:tr>
    <w:tr w:rsidR="00025154" w:rsidRPr="00403F57" w14:paraId="64162E7A" w14:textId="77777777" w:rsidTr="001318B8">
      <w:trPr>
        <w:trHeight w:hRule="exact" w:val="879"/>
      </w:trPr>
      <w:tc>
        <w:tcPr>
          <w:tcW w:w="4984" w:type="dxa"/>
          <w:vMerge/>
          <w:tcMar>
            <w:left w:w="0" w:type="dxa"/>
            <w:bottom w:w="85" w:type="dxa"/>
          </w:tcMar>
          <w:vAlign w:val="center"/>
        </w:tcPr>
        <w:p w14:paraId="2FE1E227" w14:textId="77777777" w:rsidR="00025154" w:rsidRPr="00403F57" w:rsidRDefault="00025154" w:rsidP="00025154">
          <w:pPr>
            <w:pStyle w:val="Sidhuvud"/>
          </w:pPr>
        </w:p>
      </w:tc>
      <w:sdt>
        <w:sdtPr>
          <w:tag w:val="cntDatum"/>
          <w:id w:val="154188765"/>
        </w:sdtPr>
        <w:sdtEndPr/>
        <w:sdtContent>
          <w:tc>
            <w:tcPr>
              <w:tcW w:w="1282" w:type="dxa"/>
              <w:tcMar>
                <w:top w:w="0" w:type="dxa"/>
                <w:bottom w:w="45" w:type="dxa"/>
              </w:tcMar>
            </w:tcPr>
            <w:p w14:paraId="07ADBCCD" w14:textId="6B07E134" w:rsidR="00025154" w:rsidRPr="000E02DE" w:rsidRDefault="00B80BE6" w:rsidP="001A4A2D">
              <w:pPr>
                <w:pStyle w:val="SoSDatum"/>
              </w:pPr>
              <w:r>
                <w:t>20</w:t>
              </w:r>
              <w:r w:rsidR="000805E5">
                <w:t>2</w:t>
              </w:r>
              <w:r w:rsidR="00A82B9A">
                <w:t>3</w:t>
              </w:r>
              <w:r>
                <w:t>-</w:t>
              </w:r>
              <w:r w:rsidR="00D631E5">
                <w:t>0</w:t>
              </w:r>
              <w:r w:rsidR="009C5BF2">
                <w:t>4</w:t>
              </w:r>
              <w:r w:rsidR="003819B1">
                <w:t>-</w:t>
              </w:r>
              <w:r w:rsidR="009C5BF2">
                <w:t>04</w:t>
              </w:r>
            </w:p>
          </w:tc>
        </w:sdtContent>
      </w:sdt>
      <w:tc>
        <w:tcPr>
          <w:tcW w:w="2763" w:type="dxa"/>
        </w:tcPr>
        <w:p w14:paraId="2F30B4A7" w14:textId="364CEDD4" w:rsidR="00025154" w:rsidRPr="00025154" w:rsidRDefault="00771A08" w:rsidP="00C27CD7">
          <w:pPr>
            <w:pStyle w:val="SoSDiarienummer"/>
            <w:rPr>
              <w:color w:val="808080"/>
            </w:rPr>
          </w:pPr>
          <w:sdt>
            <w:sdtPr>
              <w:tag w:val="cntDnr"/>
              <w:id w:val="-44064598"/>
            </w:sdtPr>
            <w:sdtEndPr/>
            <w:sdtContent>
              <w:r w:rsidR="002E4789">
                <w:t xml:space="preserve"> </w:t>
              </w:r>
              <w:r w:rsidR="002475D0" w:rsidRPr="004946A5">
                <w:t xml:space="preserve">Dnr </w:t>
              </w:r>
              <w:r w:rsidR="00315487">
                <w:t>4.1-</w:t>
              </w:r>
              <w:r w:rsidR="0099484C">
                <w:t>2435</w:t>
              </w:r>
              <w:r w:rsidR="002475D0" w:rsidRPr="001750D9">
                <w:t>/20</w:t>
              </w:r>
              <w:r w:rsidR="000805E5">
                <w:t>2</w:t>
              </w:r>
              <w:r w:rsidR="0099484C">
                <w:t>3</w:t>
              </w:r>
            </w:sdtContent>
          </w:sdt>
        </w:p>
      </w:tc>
      <w:tc>
        <w:tcPr>
          <w:tcW w:w="936" w:type="dxa"/>
        </w:tcPr>
        <w:p w14:paraId="7A8F3CA3" w14:textId="687AC1C7" w:rsidR="00025154" w:rsidRPr="000E02DE" w:rsidRDefault="00025154" w:rsidP="00025154">
          <w:pPr>
            <w:pStyle w:val="Datum"/>
          </w:pPr>
          <w:r w:rsidRPr="000E02DE">
            <w:rPr>
              <w:rStyle w:val="Sidnummer"/>
            </w:rPr>
            <w:fldChar w:fldCharType="begin"/>
          </w:r>
          <w:r w:rsidRPr="000E02DE">
            <w:rPr>
              <w:rStyle w:val="Sidnummer"/>
            </w:rPr>
            <w:instrText xml:space="preserve"> PAGE </w:instrText>
          </w:r>
          <w:r w:rsidRPr="000E02DE">
            <w:rPr>
              <w:rStyle w:val="Sidnummer"/>
            </w:rPr>
            <w:fldChar w:fldCharType="separate"/>
          </w:r>
          <w:r w:rsidR="005B4EBF">
            <w:rPr>
              <w:rStyle w:val="Sidnummer"/>
              <w:noProof/>
            </w:rPr>
            <w:t>1</w:t>
          </w:r>
          <w:r w:rsidRPr="000E02DE">
            <w:rPr>
              <w:rStyle w:val="Sidnummer"/>
            </w:rPr>
            <w:fldChar w:fldCharType="end"/>
          </w:r>
          <w:r w:rsidRPr="000E02DE">
            <w:rPr>
              <w:rStyle w:val="Sidnummer"/>
            </w:rPr>
            <w:t>(</w:t>
          </w:r>
          <w:r w:rsidRPr="000E02DE">
            <w:rPr>
              <w:rStyle w:val="Sidnummer"/>
            </w:rPr>
            <w:fldChar w:fldCharType="begin"/>
          </w:r>
          <w:r w:rsidRPr="000E02DE">
            <w:rPr>
              <w:rStyle w:val="Sidnummer"/>
            </w:rPr>
            <w:instrText xml:space="preserve"> NUMPAGES </w:instrText>
          </w:r>
          <w:r w:rsidRPr="000E02DE">
            <w:rPr>
              <w:rStyle w:val="Sidnummer"/>
            </w:rPr>
            <w:fldChar w:fldCharType="separate"/>
          </w:r>
          <w:r w:rsidR="005B4EBF">
            <w:rPr>
              <w:rStyle w:val="Sidnummer"/>
              <w:noProof/>
            </w:rPr>
            <w:t>6</w:t>
          </w:r>
          <w:r w:rsidRPr="000E02DE">
            <w:rPr>
              <w:rStyle w:val="Sidnummer"/>
            </w:rPr>
            <w:fldChar w:fldCharType="end"/>
          </w:r>
          <w:r w:rsidRPr="000E02DE">
            <w:rPr>
              <w:rStyle w:val="Sidnummer"/>
            </w:rPr>
            <w:t>)</w:t>
          </w:r>
        </w:p>
      </w:tc>
    </w:tr>
    <w:tr w:rsidR="00025154" w:rsidRPr="00403F57" w14:paraId="46226018" w14:textId="77777777" w:rsidTr="001318B8">
      <w:trPr>
        <w:trHeight w:hRule="exact" w:val="1531"/>
      </w:trPr>
      <w:tc>
        <w:tcPr>
          <w:tcW w:w="4984" w:type="dxa"/>
          <w:tcMar>
            <w:top w:w="74" w:type="dxa"/>
            <w:left w:w="57" w:type="dxa"/>
          </w:tcMar>
        </w:tcPr>
        <w:p w14:paraId="5D5B1CB8" w14:textId="111709E4" w:rsidR="00395C2C" w:rsidRPr="0020155E" w:rsidRDefault="00771A08" w:rsidP="0020155E">
          <w:pPr>
            <w:pStyle w:val="SoSAvsndaradress"/>
          </w:pPr>
          <w:sdt>
            <w:sdtPr>
              <w:tag w:val="userAvdelning"/>
              <w:id w:val="1595660630"/>
            </w:sdtPr>
            <w:sdtEndPr/>
            <w:sdtContent>
              <w:r w:rsidR="002E4789">
                <w:t>Rättsavdelningen</w:t>
              </w:r>
            </w:sdtContent>
          </w:sdt>
        </w:p>
        <w:sdt>
          <w:sdtPr>
            <w:tag w:val="userEpost"/>
            <w:id w:val="1041402450"/>
          </w:sdtPr>
          <w:sdtEndPr/>
          <w:sdtContent>
            <w:p w14:paraId="3EA6FD5E" w14:textId="20C90DBF" w:rsidR="00F62917" w:rsidRDefault="00B52B8B" w:rsidP="0020155E">
              <w:pPr>
                <w:pStyle w:val="SoSAvsndaradress"/>
              </w:pPr>
              <w:r>
                <w:t>Lillli Paaso</w:t>
              </w:r>
            </w:p>
            <w:p w14:paraId="0B699EFB" w14:textId="29765848" w:rsidR="00025154" w:rsidRPr="0020155E" w:rsidRDefault="00B52B8B" w:rsidP="000805E5">
              <w:pPr>
                <w:pStyle w:val="SoSAvsndaradress"/>
              </w:pPr>
              <w:r>
                <w:t>lilli.paaso</w:t>
              </w:r>
              <w:r w:rsidR="00F62917">
                <w:t>@socialstyrelsen.se</w:t>
              </w:r>
            </w:p>
          </w:sdtContent>
        </w:sdt>
      </w:tc>
      <w:tc>
        <w:tcPr>
          <w:tcW w:w="4981" w:type="dxa"/>
          <w:gridSpan w:val="3"/>
          <w:tcMar>
            <w:top w:w="57" w:type="dxa"/>
            <w:bottom w:w="28" w:type="dxa"/>
          </w:tcMar>
        </w:tcPr>
        <w:p w14:paraId="6E04B861" w14:textId="77777777" w:rsidR="00025154" w:rsidRPr="007A3C62" w:rsidRDefault="00025154" w:rsidP="00025154"/>
      </w:tc>
    </w:tr>
    <w:tr w:rsidR="00025154" w:rsidRPr="00403F57" w14:paraId="6005310C" w14:textId="77777777" w:rsidTr="001318B8">
      <w:trPr>
        <w:trHeight w:hRule="exact" w:val="595"/>
      </w:trPr>
      <w:tc>
        <w:tcPr>
          <w:tcW w:w="4984" w:type="dxa"/>
          <w:tcMar>
            <w:top w:w="57" w:type="dxa"/>
            <w:left w:w="57" w:type="dxa"/>
          </w:tcMar>
        </w:tcPr>
        <w:p w14:paraId="2FCD4020" w14:textId="77777777" w:rsidR="00025154" w:rsidRDefault="00025154" w:rsidP="00025154">
          <w:pPr>
            <w:pStyle w:val="Sidhuvud"/>
            <w:rPr>
              <w:noProof/>
            </w:rPr>
          </w:pPr>
        </w:p>
      </w:tc>
      <w:tc>
        <w:tcPr>
          <w:tcW w:w="4981" w:type="dxa"/>
          <w:gridSpan w:val="3"/>
          <w:tcMar>
            <w:top w:w="57" w:type="dxa"/>
            <w:bottom w:w="28" w:type="dxa"/>
          </w:tcMar>
        </w:tcPr>
        <w:p w14:paraId="7021E96F" w14:textId="77777777" w:rsidR="00025154" w:rsidRPr="00403F57" w:rsidRDefault="00025154" w:rsidP="00025154"/>
      </w:tc>
    </w:tr>
  </w:tbl>
  <w:p w14:paraId="42377E96" w14:textId="77777777" w:rsidR="00B26CC6" w:rsidRPr="00E709DC" w:rsidRDefault="0070007A" w:rsidP="00915BAA">
    <w:pPr>
      <w:pStyle w:val="SoSBrdtext"/>
    </w:pPr>
    <w:r>
      <w:rPr>
        <w:noProof/>
      </w:rPr>
      <w:drawing>
        <wp:anchor distT="0" distB="0" distL="114300" distR="114300" simplePos="0" relativeHeight="251657216" behindDoc="0" locked="1" layoutInCell="1" allowOverlap="1" wp14:anchorId="49614EAE" wp14:editId="35144AFE">
          <wp:simplePos x="0" y="0"/>
          <wp:positionH relativeFrom="page">
            <wp:posOffset>914400</wp:posOffset>
          </wp:positionH>
          <wp:positionV relativeFrom="page">
            <wp:posOffset>442595</wp:posOffset>
          </wp:positionV>
          <wp:extent cx="2178000" cy="45720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styrelsen Logo Vänsterställt Svart.emf"/>
                  <pic:cNvPicPr/>
                </pic:nvPicPr>
                <pic:blipFill>
                  <a:blip r:embed="rId1">
                    <a:extLst>
                      <a:ext uri="{28A0092B-C50C-407E-A947-70E740481C1C}">
                        <a14:useLocalDpi xmlns:a14="http://schemas.microsoft.com/office/drawing/2010/main" val="0"/>
                      </a:ext>
                    </a:extLst>
                  </a:blip>
                  <a:stretch>
                    <a:fillRect/>
                  </a:stretch>
                </pic:blipFill>
                <pic:spPr>
                  <a:xfrm>
                    <a:off x="0" y="0"/>
                    <a:ext cx="2178000"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C98DBF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B469E0"/>
    <w:multiLevelType w:val="multilevel"/>
    <w:tmpl w:val="4D2E67F2"/>
    <w:lvl w:ilvl="0">
      <w:start w:val="1"/>
      <w:numFmt w:val="decimal"/>
      <w:lvlText w:val="%1. "/>
      <w:lvlJc w:val="left"/>
      <w:pPr>
        <w:ind w:left="255" w:hanging="255"/>
      </w:pPr>
      <w:rPr>
        <w:rFonts w:hint="default"/>
      </w:rPr>
    </w:lvl>
    <w:lvl w:ilvl="1">
      <w:start w:val="1"/>
      <w:numFmt w:val="bullet"/>
      <w:lvlText w:val="-"/>
      <w:lvlJc w:val="left"/>
      <w:pPr>
        <w:ind w:left="238" w:hanging="57"/>
      </w:pPr>
      <w:rPr>
        <w:rFonts w:ascii="Times New Roman" w:hAnsi="Times New Roman" w:cs="Times New Roman" w:hint="default"/>
      </w:rPr>
    </w:lvl>
    <w:lvl w:ilvl="2">
      <w:start w:val="1"/>
      <w:numFmt w:val="bullet"/>
      <w:lvlText w:val="»"/>
      <w:lvlJc w:val="left"/>
      <w:pPr>
        <w:ind w:left="408" w:hanging="198"/>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D244088"/>
    <w:multiLevelType w:val="hybridMultilevel"/>
    <w:tmpl w:val="81507854"/>
    <w:lvl w:ilvl="0" w:tplc="A9D01EF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750157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9E34EF1"/>
    <w:multiLevelType w:val="singleLevel"/>
    <w:tmpl w:val="041D000F"/>
    <w:lvl w:ilvl="0">
      <w:start w:val="1"/>
      <w:numFmt w:val="decimal"/>
      <w:lvlText w:val="%1."/>
      <w:lvlJc w:val="left"/>
      <w:pPr>
        <w:tabs>
          <w:tab w:val="num" w:pos="360"/>
        </w:tabs>
        <w:ind w:left="360" w:hanging="360"/>
      </w:pPr>
    </w:lvl>
  </w:abstractNum>
  <w:abstractNum w:abstractNumId="6" w15:restartNumberingAfterBreak="0">
    <w:nsid w:val="1CB9091F"/>
    <w:multiLevelType w:val="hybridMultilevel"/>
    <w:tmpl w:val="ADC865B8"/>
    <w:lvl w:ilvl="0" w:tplc="3718F442">
      <w:numFmt w:val="bullet"/>
      <w:lvlText w:val="•"/>
      <w:lvlJc w:val="left"/>
      <w:pPr>
        <w:ind w:left="720" w:hanging="360"/>
      </w:pPr>
      <w:rPr>
        <w:rFonts w:cs="Helvetica Neue Light" w:hint="default"/>
        <w:sz w:val="24"/>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0993543"/>
    <w:multiLevelType w:val="hybridMultilevel"/>
    <w:tmpl w:val="81D8CCFA"/>
    <w:lvl w:ilvl="0" w:tplc="3BB616BC">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8" w15:restartNumberingAfterBreak="0">
    <w:nsid w:val="21DB091B"/>
    <w:multiLevelType w:val="multilevel"/>
    <w:tmpl w:val="ACCC7E76"/>
    <w:lvl w:ilvl="0">
      <w:start w:val="1"/>
      <w:numFmt w:val="decimal"/>
      <w:pStyle w:val="SoSNumreradlista"/>
      <w:lvlText w:val="%1. "/>
      <w:lvlJc w:val="left"/>
      <w:pPr>
        <w:ind w:left="510" w:hanging="510"/>
      </w:pPr>
      <w:rPr>
        <w:rFonts w:hint="default"/>
      </w:rPr>
    </w:lvl>
    <w:lvl w:ilvl="1">
      <w:start w:val="1"/>
      <w:numFmt w:val="bullet"/>
      <w:lvlText w:val=""/>
      <w:lvlJc w:val="left"/>
      <w:pPr>
        <w:ind w:left="765" w:hanging="255"/>
      </w:pPr>
      <w:rPr>
        <w:rFonts w:ascii="Symbol" w:hAnsi="Symbol" w:cs="Arial" w:hint="default"/>
        <w:color w:val="auto"/>
      </w:rPr>
    </w:lvl>
    <w:lvl w:ilvl="2">
      <w:start w:val="1"/>
      <w:numFmt w:val="bullet"/>
      <w:lvlText w:val="­"/>
      <w:lvlJc w:val="left"/>
      <w:pPr>
        <w:ind w:left="1020" w:hanging="255"/>
      </w:pPr>
      <w:rPr>
        <w:rFonts w:ascii="Times New Roman" w:hAnsi="Times New Roman" w:cs="Arial" w:hint="default"/>
        <w:b w:val="0"/>
        <w:i/>
      </w:rPr>
    </w:lvl>
    <w:lvl w:ilvl="3">
      <w:start w:val="1"/>
      <w:numFmt w:val="bullet"/>
      <w:lvlText w:val="­"/>
      <w:lvlJc w:val="left"/>
      <w:pPr>
        <w:ind w:left="1275" w:hanging="254"/>
      </w:pPr>
      <w:rPr>
        <w:rFonts w:ascii="Times New Roman" w:hAnsi="Times New Roman" w:cs="Times New Roman" w:hint="default"/>
      </w:rPr>
    </w:lvl>
    <w:lvl w:ilvl="4">
      <w:start w:val="1"/>
      <w:numFmt w:val="lowerLetter"/>
      <w:lvlText w:val="(%5)"/>
      <w:lvlJc w:val="left"/>
      <w:pPr>
        <w:ind w:left="1530" w:hanging="510"/>
      </w:pPr>
      <w:rPr>
        <w:rFonts w:hint="default"/>
      </w:rPr>
    </w:lvl>
    <w:lvl w:ilvl="5">
      <w:start w:val="1"/>
      <w:numFmt w:val="lowerRoman"/>
      <w:lvlText w:val="(%6)"/>
      <w:lvlJc w:val="left"/>
      <w:pPr>
        <w:ind w:left="1785" w:hanging="510"/>
      </w:pPr>
      <w:rPr>
        <w:rFonts w:hint="default"/>
      </w:rPr>
    </w:lvl>
    <w:lvl w:ilvl="6">
      <w:start w:val="1"/>
      <w:numFmt w:val="decimal"/>
      <w:lvlText w:val="%7."/>
      <w:lvlJc w:val="left"/>
      <w:pPr>
        <w:ind w:left="2040" w:hanging="510"/>
      </w:pPr>
      <w:rPr>
        <w:rFonts w:hint="default"/>
      </w:rPr>
    </w:lvl>
    <w:lvl w:ilvl="7">
      <w:start w:val="1"/>
      <w:numFmt w:val="lowerLetter"/>
      <w:lvlText w:val="%8."/>
      <w:lvlJc w:val="left"/>
      <w:pPr>
        <w:ind w:left="2295" w:hanging="510"/>
      </w:pPr>
      <w:rPr>
        <w:rFonts w:hint="default"/>
      </w:rPr>
    </w:lvl>
    <w:lvl w:ilvl="8">
      <w:start w:val="1"/>
      <w:numFmt w:val="lowerRoman"/>
      <w:lvlText w:val="%9."/>
      <w:lvlJc w:val="left"/>
      <w:pPr>
        <w:ind w:left="2550" w:hanging="510"/>
      </w:pPr>
      <w:rPr>
        <w:rFonts w:hint="default"/>
      </w:rPr>
    </w:lvl>
  </w:abstractNum>
  <w:abstractNum w:abstractNumId="9" w15:restartNumberingAfterBreak="0">
    <w:nsid w:val="25A3227E"/>
    <w:multiLevelType w:val="hybridMultilevel"/>
    <w:tmpl w:val="3C92FDBE"/>
    <w:lvl w:ilvl="0" w:tplc="041D000F">
      <w:start w:val="1"/>
      <w:numFmt w:val="decimal"/>
      <w:lvlText w:val="%1."/>
      <w:lvlJc w:val="left"/>
      <w:pPr>
        <w:ind w:left="944" w:hanging="360"/>
      </w:pPr>
    </w:lvl>
    <w:lvl w:ilvl="1" w:tplc="041D0019" w:tentative="1">
      <w:start w:val="1"/>
      <w:numFmt w:val="lowerLetter"/>
      <w:lvlText w:val="%2."/>
      <w:lvlJc w:val="left"/>
      <w:pPr>
        <w:ind w:left="1664" w:hanging="360"/>
      </w:pPr>
    </w:lvl>
    <w:lvl w:ilvl="2" w:tplc="041D001B" w:tentative="1">
      <w:start w:val="1"/>
      <w:numFmt w:val="lowerRoman"/>
      <w:lvlText w:val="%3."/>
      <w:lvlJc w:val="right"/>
      <w:pPr>
        <w:ind w:left="2384" w:hanging="180"/>
      </w:pPr>
    </w:lvl>
    <w:lvl w:ilvl="3" w:tplc="041D000F" w:tentative="1">
      <w:start w:val="1"/>
      <w:numFmt w:val="decimal"/>
      <w:lvlText w:val="%4."/>
      <w:lvlJc w:val="left"/>
      <w:pPr>
        <w:ind w:left="3104" w:hanging="360"/>
      </w:pPr>
    </w:lvl>
    <w:lvl w:ilvl="4" w:tplc="041D0019" w:tentative="1">
      <w:start w:val="1"/>
      <w:numFmt w:val="lowerLetter"/>
      <w:lvlText w:val="%5."/>
      <w:lvlJc w:val="left"/>
      <w:pPr>
        <w:ind w:left="3824" w:hanging="360"/>
      </w:pPr>
    </w:lvl>
    <w:lvl w:ilvl="5" w:tplc="041D001B" w:tentative="1">
      <w:start w:val="1"/>
      <w:numFmt w:val="lowerRoman"/>
      <w:lvlText w:val="%6."/>
      <w:lvlJc w:val="right"/>
      <w:pPr>
        <w:ind w:left="4544" w:hanging="180"/>
      </w:pPr>
    </w:lvl>
    <w:lvl w:ilvl="6" w:tplc="041D000F" w:tentative="1">
      <w:start w:val="1"/>
      <w:numFmt w:val="decimal"/>
      <w:lvlText w:val="%7."/>
      <w:lvlJc w:val="left"/>
      <w:pPr>
        <w:ind w:left="5264" w:hanging="360"/>
      </w:pPr>
    </w:lvl>
    <w:lvl w:ilvl="7" w:tplc="041D0019" w:tentative="1">
      <w:start w:val="1"/>
      <w:numFmt w:val="lowerLetter"/>
      <w:lvlText w:val="%8."/>
      <w:lvlJc w:val="left"/>
      <w:pPr>
        <w:ind w:left="5984" w:hanging="360"/>
      </w:pPr>
    </w:lvl>
    <w:lvl w:ilvl="8" w:tplc="041D001B" w:tentative="1">
      <w:start w:val="1"/>
      <w:numFmt w:val="lowerRoman"/>
      <w:lvlText w:val="%9."/>
      <w:lvlJc w:val="right"/>
      <w:pPr>
        <w:ind w:left="6704" w:hanging="180"/>
      </w:pPr>
    </w:lvl>
  </w:abstractNum>
  <w:abstractNum w:abstractNumId="10" w15:restartNumberingAfterBreak="0">
    <w:nsid w:val="3A963A29"/>
    <w:multiLevelType w:val="hybridMultilevel"/>
    <w:tmpl w:val="7B5053D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3531A53"/>
    <w:multiLevelType w:val="multilevel"/>
    <w:tmpl w:val="245C2010"/>
    <w:lvl w:ilvl="0">
      <w:start w:val="1"/>
      <w:numFmt w:val="bullet"/>
      <w:pStyle w:val="SoSPunktlista"/>
      <w:lvlText w:val="•"/>
      <w:lvlJc w:val="left"/>
      <w:pPr>
        <w:ind w:left="255" w:hanging="255"/>
      </w:pPr>
      <w:rPr>
        <w:rFonts w:ascii="Times New Roman" w:hAnsi="Times New Roman" w:cs="Goudy" w:hint="default"/>
        <w:b w:val="0"/>
        <w:i w:val="0"/>
        <w:sz w:val="23"/>
        <w:szCs w:val="24"/>
      </w:rPr>
    </w:lvl>
    <w:lvl w:ilvl="1">
      <w:start w:val="1"/>
      <w:numFmt w:val="bullet"/>
      <w:lvlText w:val=""/>
      <w:lvlJc w:val="left"/>
      <w:pPr>
        <w:ind w:left="510" w:hanging="255"/>
      </w:pPr>
      <w:rPr>
        <w:rFonts w:ascii="Symbol" w:hAnsi="Symbol" w:cs="Times New Roman" w:hint="default"/>
        <w:color w:val="auto"/>
      </w:rPr>
    </w:lvl>
    <w:lvl w:ilvl="2">
      <w:start w:val="1"/>
      <w:numFmt w:val="bullet"/>
      <w:lvlText w:val="­"/>
      <w:lvlJc w:val="left"/>
      <w:pPr>
        <w:ind w:left="765" w:hanging="255"/>
      </w:pPr>
      <w:rPr>
        <w:rFonts w:ascii="Times New Roman" w:hAnsi="Times New Roman" w:cs="Times New Roman" w:hint="default"/>
      </w:rPr>
    </w:lvl>
    <w:lvl w:ilvl="3">
      <w:start w:val="1"/>
      <w:numFmt w:val="bullet"/>
      <w:lvlText w:val="­"/>
      <w:lvlJc w:val="left"/>
      <w:pPr>
        <w:ind w:left="1020" w:hanging="255"/>
      </w:pPr>
      <w:rPr>
        <w:rFonts w:ascii="Times New Roman" w:hAnsi="Times New Roman" w:cs="Times New Roman" w:hint="default"/>
      </w:rPr>
    </w:lvl>
    <w:lvl w:ilvl="4">
      <w:start w:val="1"/>
      <w:numFmt w:val="lowerLetter"/>
      <w:lvlText w:val="(%5)"/>
      <w:lvlJc w:val="left"/>
      <w:pPr>
        <w:ind w:left="1275" w:hanging="255"/>
      </w:pPr>
      <w:rPr>
        <w:rFonts w:hint="default"/>
      </w:rPr>
    </w:lvl>
    <w:lvl w:ilvl="5">
      <w:start w:val="1"/>
      <w:numFmt w:val="lowerRoman"/>
      <w:lvlText w:val="(%6)"/>
      <w:lvlJc w:val="left"/>
      <w:pPr>
        <w:ind w:left="1530" w:hanging="255"/>
      </w:pPr>
      <w:rPr>
        <w:rFonts w:hint="default"/>
      </w:rPr>
    </w:lvl>
    <w:lvl w:ilvl="6">
      <w:start w:val="1"/>
      <w:numFmt w:val="decimal"/>
      <w:lvlText w:val="%7."/>
      <w:lvlJc w:val="left"/>
      <w:pPr>
        <w:ind w:left="1785" w:hanging="255"/>
      </w:pPr>
      <w:rPr>
        <w:rFonts w:hint="default"/>
      </w:rPr>
    </w:lvl>
    <w:lvl w:ilvl="7">
      <w:start w:val="1"/>
      <w:numFmt w:val="lowerLetter"/>
      <w:lvlText w:val="%8."/>
      <w:lvlJc w:val="left"/>
      <w:pPr>
        <w:ind w:left="2040" w:hanging="255"/>
      </w:pPr>
      <w:rPr>
        <w:rFonts w:hint="default"/>
      </w:rPr>
    </w:lvl>
    <w:lvl w:ilvl="8">
      <w:start w:val="1"/>
      <w:numFmt w:val="lowerRoman"/>
      <w:lvlText w:val="%9."/>
      <w:lvlJc w:val="left"/>
      <w:pPr>
        <w:ind w:left="2295" w:hanging="255"/>
      </w:pPr>
      <w:rPr>
        <w:rFonts w:hint="default"/>
      </w:rPr>
    </w:lvl>
  </w:abstractNum>
  <w:abstractNum w:abstractNumId="12" w15:restartNumberingAfterBreak="0">
    <w:nsid w:val="43FB3E55"/>
    <w:multiLevelType w:val="singleLevel"/>
    <w:tmpl w:val="C9FEB0DE"/>
    <w:lvl w:ilvl="0">
      <w:start w:val="1"/>
      <w:numFmt w:val="decimal"/>
      <w:lvlText w:val="%1"/>
      <w:legacy w:legacy="1" w:legacySpace="0" w:legacyIndent="454"/>
      <w:lvlJc w:val="left"/>
      <w:pPr>
        <w:ind w:left="454" w:hanging="454"/>
      </w:pPr>
    </w:lvl>
  </w:abstractNum>
  <w:abstractNum w:abstractNumId="13" w15:restartNumberingAfterBreak="0">
    <w:nsid w:val="482E4536"/>
    <w:multiLevelType w:val="hybridMultilevel"/>
    <w:tmpl w:val="7DD0FE8A"/>
    <w:lvl w:ilvl="0" w:tplc="BBA420D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91B5A31"/>
    <w:multiLevelType w:val="hybridMultilevel"/>
    <w:tmpl w:val="88603BB4"/>
    <w:lvl w:ilvl="0" w:tplc="B5ECCA20">
      <w:start w:val="1"/>
      <w:numFmt w:val="bullet"/>
      <w:pStyle w:val="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4F5378B0"/>
    <w:multiLevelType w:val="multilevel"/>
    <w:tmpl w:val="F0EC1E06"/>
    <w:lvl w:ilvl="0">
      <w:start w:val="1"/>
      <w:numFmt w:val="decimal"/>
      <w:lvlText w:val="%1. "/>
      <w:lvlJc w:val="left"/>
      <w:pPr>
        <w:ind w:left="255" w:hanging="255"/>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F8A6CCA"/>
    <w:multiLevelType w:val="multilevel"/>
    <w:tmpl w:val="4030D746"/>
    <w:lvl w:ilvl="0">
      <w:numFmt w:val="bullet"/>
      <w:lvlText w:val="•"/>
      <w:lvlJc w:val="left"/>
      <w:pPr>
        <w:ind w:left="255" w:hanging="255"/>
      </w:pPr>
      <w:rPr>
        <w:rFonts w:ascii="Times New Roman" w:hAnsi="Times New Roman" w:cs="Times New Roman" w:hint="default"/>
        <w:b w:val="0"/>
        <w:i w:val="0"/>
        <w:sz w:val="24"/>
        <w:szCs w:val="24"/>
      </w:rPr>
    </w:lvl>
    <w:lvl w:ilvl="1">
      <w:start w:val="1"/>
      <w:numFmt w:val="bullet"/>
      <w:lvlText w:val=""/>
      <w:lvlJc w:val="left"/>
      <w:pPr>
        <w:ind w:left="510" w:hanging="255"/>
      </w:pPr>
      <w:rPr>
        <w:rFonts w:ascii="Symbol" w:hAnsi="Symbol" w:cs="Courier New" w:hint="default"/>
        <w:b w:val="0"/>
        <w:i w:val="0"/>
        <w:color w:val="auto"/>
        <w:sz w:val="24"/>
        <w:szCs w:val="24"/>
      </w:rPr>
    </w:lvl>
    <w:lvl w:ilvl="2">
      <w:start w:val="1"/>
      <w:numFmt w:val="bullet"/>
      <w:lvlText w:val="­"/>
      <w:lvlJc w:val="left"/>
      <w:pPr>
        <w:ind w:left="765" w:hanging="255"/>
      </w:pPr>
      <w:rPr>
        <w:rFonts w:ascii="Times New Roman" w:hAnsi="Times New Roman" w:cs="Times New Roman" w:hint="default"/>
      </w:rPr>
    </w:lvl>
    <w:lvl w:ilvl="3">
      <w:start w:val="1"/>
      <w:numFmt w:val="bullet"/>
      <w:lvlText w:val="­"/>
      <w:lvlJc w:val="left"/>
      <w:pPr>
        <w:ind w:left="1021" w:hanging="256"/>
      </w:pPr>
      <w:rPr>
        <w:rFonts w:ascii="Times New Roman" w:hAnsi="Times New Roman" w:cs="Times New Roman"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1FD6478"/>
    <w:multiLevelType w:val="hybridMultilevel"/>
    <w:tmpl w:val="E93A11E2"/>
    <w:lvl w:ilvl="0" w:tplc="041D000F">
      <w:start w:val="1"/>
      <w:numFmt w:val="decimal"/>
      <w:lvlText w:val="%1."/>
      <w:lvlJc w:val="left"/>
      <w:pPr>
        <w:ind w:left="944" w:hanging="360"/>
      </w:pPr>
    </w:lvl>
    <w:lvl w:ilvl="1" w:tplc="041D0019" w:tentative="1">
      <w:start w:val="1"/>
      <w:numFmt w:val="lowerLetter"/>
      <w:lvlText w:val="%2."/>
      <w:lvlJc w:val="left"/>
      <w:pPr>
        <w:ind w:left="1664" w:hanging="360"/>
      </w:pPr>
    </w:lvl>
    <w:lvl w:ilvl="2" w:tplc="041D001B" w:tentative="1">
      <w:start w:val="1"/>
      <w:numFmt w:val="lowerRoman"/>
      <w:lvlText w:val="%3."/>
      <w:lvlJc w:val="right"/>
      <w:pPr>
        <w:ind w:left="2384" w:hanging="180"/>
      </w:pPr>
    </w:lvl>
    <w:lvl w:ilvl="3" w:tplc="041D000F" w:tentative="1">
      <w:start w:val="1"/>
      <w:numFmt w:val="decimal"/>
      <w:lvlText w:val="%4."/>
      <w:lvlJc w:val="left"/>
      <w:pPr>
        <w:ind w:left="3104" w:hanging="360"/>
      </w:pPr>
    </w:lvl>
    <w:lvl w:ilvl="4" w:tplc="041D0019" w:tentative="1">
      <w:start w:val="1"/>
      <w:numFmt w:val="lowerLetter"/>
      <w:lvlText w:val="%5."/>
      <w:lvlJc w:val="left"/>
      <w:pPr>
        <w:ind w:left="3824" w:hanging="360"/>
      </w:pPr>
    </w:lvl>
    <w:lvl w:ilvl="5" w:tplc="041D001B" w:tentative="1">
      <w:start w:val="1"/>
      <w:numFmt w:val="lowerRoman"/>
      <w:lvlText w:val="%6."/>
      <w:lvlJc w:val="right"/>
      <w:pPr>
        <w:ind w:left="4544" w:hanging="180"/>
      </w:pPr>
    </w:lvl>
    <w:lvl w:ilvl="6" w:tplc="041D000F" w:tentative="1">
      <w:start w:val="1"/>
      <w:numFmt w:val="decimal"/>
      <w:lvlText w:val="%7."/>
      <w:lvlJc w:val="left"/>
      <w:pPr>
        <w:ind w:left="5264" w:hanging="360"/>
      </w:pPr>
    </w:lvl>
    <w:lvl w:ilvl="7" w:tplc="041D0019" w:tentative="1">
      <w:start w:val="1"/>
      <w:numFmt w:val="lowerLetter"/>
      <w:lvlText w:val="%8."/>
      <w:lvlJc w:val="left"/>
      <w:pPr>
        <w:ind w:left="5984" w:hanging="360"/>
      </w:pPr>
    </w:lvl>
    <w:lvl w:ilvl="8" w:tplc="041D001B" w:tentative="1">
      <w:start w:val="1"/>
      <w:numFmt w:val="lowerRoman"/>
      <w:lvlText w:val="%9."/>
      <w:lvlJc w:val="right"/>
      <w:pPr>
        <w:ind w:left="6704" w:hanging="180"/>
      </w:pPr>
    </w:lvl>
  </w:abstractNum>
  <w:abstractNum w:abstractNumId="18" w15:restartNumberingAfterBreak="0">
    <w:nsid w:val="6E7F4F4C"/>
    <w:multiLevelType w:val="multilevel"/>
    <w:tmpl w:val="F34C31BC"/>
    <w:lvl w:ilvl="0">
      <w:start w:val="1"/>
      <w:numFmt w:val="decimal"/>
      <w:lvlText w:val="%1. "/>
      <w:lvlJc w:val="left"/>
      <w:pPr>
        <w:ind w:left="255" w:hanging="255"/>
      </w:pPr>
      <w:rPr>
        <w:rFonts w:hint="default"/>
      </w:rPr>
    </w:lvl>
    <w:lvl w:ilvl="1">
      <w:start w:val="1"/>
      <w:numFmt w:val="bullet"/>
      <w:lvlText w:val="−"/>
      <w:lvlJc w:val="left"/>
      <w:pPr>
        <w:tabs>
          <w:tab w:val="num" w:pos="198"/>
        </w:tabs>
        <w:ind w:left="391" w:hanging="193"/>
      </w:pPr>
      <w:rPr>
        <w:rFonts w:ascii="Arial" w:hAnsi="Arial" w:hint="default"/>
      </w:rPr>
    </w:lvl>
    <w:lvl w:ilvl="2">
      <w:start w:val="1"/>
      <w:numFmt w:val="bullet"/>
      <w:lvlText w:val="»"/>
      <w:lvlJc w:val="left"/>
      <w:pPr>
        <w:ind w:left="522" w:hanging="131"/>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7A001F5"/>
    <w:multiLevelType w:val="multilevel"/>
    <w:tmpl w:val="F0EC1E06"/>
    <w:lvl w:ilvl="0">
      <w:start w:val="1"/>
      <w:numFmt w:val="decimal"/>
      <w:lvlText w:val="%1. "/>
      <w:lvlJc w:val="left"/>
      <w:pPr>
        <w:ind w:left="255" w:hanging="255"/>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98C3425"/>
    <w:multiLevelType w:val="hybridMultilevel"/>
    <w:tmpl w:val="5CF6D8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7D6739C3"/>
    <w:multiLevelType w:val="hybridMultilevel"/>
    <w:tmpl w:val="7486D6D0"/>
    <w:lvl w:ilvl="0" w:tplc="39FCDE7C">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lvlOverride w:ilvl="0">
      <w:lvl w:ilvl="0">
        <w:start w:val="1"/>
        <w:numFmt w:val="bullet"/>
        <w:lvlText w:val=""/>
        <w:legacy w:legacy="1" w:legacySpace="0" w:legacyIndent="454"/>
        <w:lvlJc w:val="left"/>
        <w:pPr>
          <w:ind w:left="454" w:hanging="454"/>
        </w:pPr>
        <w:rPr>
          <w:rFonts w:ascii="Times" w:hAnsi="Times" w:hint="default"/>
        </w:rPr>
      </w:lvl>
    </w:lvlOverride>
  </w:num>
  <w:num w:numId="4">
    <w:abstractNumId w:val="12"/>
  </w:num>
  <w:num w:numId="5">
    <w:abstractNumId w:val="13"/>
  </w:num>
  <w:num w:numId="6">
    <w:abstractNumId w:val="14"/>
  </w:num>
  <w:num w:numId="7">
    <w:abstractNumId w:val="0"/>
  </w:num>
  <w:num w:numId="8">
    <w:abstractNumId w:val="6"/>
  </w:num>
  <w:num w:numId="9">
    <w:abstractNumId w:val="19"/>
  </w:num>
  <w:num w:numId="10">
    <w:abstractNumId w:val="15"/>
  </w:num>
  <w:num w:numId="11">
    <w:abstractNumId w:val="2"/>
  </w:num>
  <w:num w:numId="12">
    <w:abstractNumId w:val="18"/>
  </w:num>
  <w:num w:numId="13">
    <w:abstractNumId w:val="16"/>
  </w:num>
  <w:num w:numId="14">
    <w:abstractNumId w:val="11"/>
  </w:num>
  <w:num w:numId="15">
    <w:abstractNumId w:val="8"/>
  </w:num>
  <w:num w:numId="16">
    <w:abstractNumId w:val="20"/>
  </w:num>
  <w:num w:numId="17">
    <w:abstractNumId w:val="21"/>
  </w:num>
  <w:num w:numId="18">
    <w:abstractNumId w:val="10"/>
  </w:num>
  <w:num w:numId="19">
    <w:abstractNumId w:val="3"/>
  </w:num>
  <w:num w:numId="20">
    <w:abstractNumId w:val="17"/>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1304"/>
  <w:autoHyphenation/>
  <w:consecutiveHyphenLimit w:val="3"/>
  <w:hyphenationZone w:val="709"/>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osdok" w:val="sosbrev"/>
  </w:docVars>
  <w:rsids>
    <w:rsidRoot w:val="002E4789"/>
    <w:rsid w:val="00001DE8"/>
    <w:rsid w:val="000027F1"/>
    <w:rsid w:val="00007B15"/>
    <w:rsid w:val="00010A35"/>
    <w:rsid w:val="00010F73"/>
    <w:rsid w:val="000125C2"/>
    <w:rsid w:val="00012906"/>
    <w:rsid w:val="000141C7"/>
    <w:rsid w:val="00015AD5"/>
    <w:rsid w:val="00016CE3"/>
    <w:rsid w:val="00025154"/>
    <w:rsid w:val="00030358"/>
    <w:rsid w:val="000312F9"/>
    <w:rsid w:val="00040626"/>
    <w:rsid w:val="00040C09"/>
    <w:rsid w:val="00040F0D"/>
    <w:rsid w:val="00040FD7"/>
    <w:rsid w:val="00041779"/>
    <w:rsid w:val="00043120"/>
    <w:rsid w:val="00043F99"/>
    <w:rsid w:val="0004400C"/>
    <w:rsid w:val="00051D47"/>
    <w:rsid w:val="00053E89"/>
    <w:rsid w:val="000617E2"/>
    <w:rsid w:val="0006544E"/>
    <w:rsid w:val="00070968"/>
    <w:rsid w:val="00071EB0"/>
    <w:rsid w:val="00075438"/>
    <w:rsid w:val="00076363"/>
    <w:rsid w:val="000805E5"/>
    <w:rsid w:val="00080DE2"/>
    <w:rsid w:val="00081742"/>
    <w:rsid w:val="000834F7"/>
    <w:rsid w:val="0008608F"/>
    <w:rsid w:val="00087376"/>
    <w:rsid w:val="00090739"/>
    <w:rsid w:val="00090EF1"/>
    <w:rsid w:val="00092EEF"/>
    <w:rsid w:val="00094FF3"/>
    <w:rsid w:val="000A04DC"/>
    <w:rsid w:val="000A3A75"/>
    <w:rsid w:val="000A55CB"/>
    <w:rsid w:val="000B3BAF"/>
    <w:rsid w:val="000B6576"/>
    <w:rsid w:val="000B7291"/>
    <w:rsid w:val="000C00A9"/>
    <w:rsid w:val="000C0365"/>
    <w:rsid w:val="000C03D3"/>
    <w:rsid w:val="000C0D4F"/>
    <w:rsid w:val="000C1FE0"/>
    <w:rsid w:val="000C2D5D"/>
    <w:rsid w:val="000C34F8"/>
    <w:rsid w:val="000C4DD7"/>
    <w:rsid w:val="000C539B"/>
    <w:rsid w:val="000D066C"/>
    <w:rsid w:val="000D0EB7"/>
    <w:rsid w:val="000D1F7D"/>
    <w:rsid w:val="000D4C77"/>
    <w:rsid w:val="000E02DE"/>
    <w:rsid w:val="000E5B62"/>
    <w:rsid w:val="000E7378"/>
    <w:rsid w:val="000E7EC6"/>
    <w:rsid w:val="000F687B"/>
    <w:rsid w:val="000F6D88"/>
    <w:rsid w:val="000F6F74"/>
    <w:rsid w:val="00101063"/>
    <w:rsid w:val="00101DAB"/>
    <w:rsid w:val="00102AC6"/>
    <w:rsid w:val="001034C3"/>
    <w:rsid w:val="00104D77"/>
    <w:rsid w:val="00111649"/>
    <w:rsid w:val="00114800"/>
    <w:rsid w:val="001154B5"/>
    <w:rsid w:val="00120C8F"/>
    <w:rsid w:val="00120F2E"/>
    <w:rsid w:val="0012165F"/>
    <w:rsid w:val="00123105"/>
    <w:rsid w:val="00124525"/>
    <w:rsid w:val="00125871"/>
    <w:rsid w:val="00125F78"/>
    <w:rsid w:val="001277BA"/>
    <w:rsid w:val="001318B8"/>
    <w:rsid w:val="00134B8E"/>
    <w:rsid w:val="0013666A"/>
    <w:rsid w:val="0013739E"/>
    <w:rsid w:val="00142E26"/>
    <w:rsid w:val="001436C2"/>
    <w:rsid w:val="001473D9"/>
    <w:rsid w:val="0015190B"/>
    <w:rsid w:val="0015523A"/>
    <w:rsid w:val="00155D51"/>
    <w:rsid w:val="001569B1"/>
    <w:rsid w:val="001609C5"/>
    <w:rsid w:val="0016268A"/>
    <w:rsid w:val="00166295"/>
    <w:rsid w:val="00166A4C"/>
    <w:rsid w:val="00170C3C"/>
    <w:rsid w:val="001710BC"/>
    <w:rsid w:val="0017282C"/>
    <w:rsid w:val="001750D9"/>
    <w:rsid w:val="001756F7"/>
    <w:rsid w:val="001757DF"/>
    <w:rsid w:val="00181FD8"/>
    <w:rsid w:val="00183700"/>
    <w:rsid w:val="00183964"/>
    <w:rsid w:val="00186C9B"/>
    <w:rsid w:val="00192E63"/>
    <w:rsid w:val="001934C4"/>
    <w:rsid w:val="00194649"/>
    <w:rsid w:val="00194CE6"/>
    <w:rsid w:val="0019504F"/>
    <w:rsid w:val="00195ACD"/>
    <w:rsid w:val="00195E5F"/>
    <w:rsid w:val="00197EF0"/>
    <w:rsid w:val="001A22A2"/>
    <w:rsid w:val="001A3ABA"/>
    <w:rsid w:val="001A477A"/>
    <w:rsid w:val="001A4A2D"/>
    <w:rsid w:val="001B1120"/>
    <w:rsid w:val="001B214B"/>
    <w:rsid w:val="001B4ED9"/>
    <w:rsid w:val="001B68EB"/>
    <w:rsid w:val="001C2659"/>
    <w:rsid w:val="001C4583"/>
    <w:rsid w:val="001C5247"/>
    <w:rsid w:val="001D02F2"/>
    <w:rsid w:val="001D167C"/>
    <w:rsid w:val="001D6834"/>
    <w:rsid w:val="001E4D50"/>
    <w:rsid w:val="001E6ED3"/>
    <w:rsid w:val="001F17BE"/>
    <w:rsid w:val="001F2A0C"/>
    <w:rsid w:val="001F331C"/>
    <w:rsid w:val="00200B2D"/>
    <w:rsid w:val="0020155E"/>
    <w:rsid w:val="002018F2"/>
    <w:rsid w:val="00204738"/>
    <w:rsid w:val="002052BD"/>
    <w:rsid w:val="002064FF"/>
    <w:rsid w:val="00211C20"/>
    <w:rsid w:val="0021662E"/>
    <w:rsid w:val="00217773"/>
    <w:rsid w:val="00217C21"/>
    <w:rsid w:val="00222604"/>
    <w:rsid w:val="00222CBB"/>
    <w:rsid w:val="00225E0F"/>
    <w:rsid w:val="00227CC8"/>
    <w:rsid w:val="00231F5D"/>
    <w:rsid w:val="002335A9"/>
    <w:rsid w:val="002353AE"/>
    <w:rsid w:val="0023667B"/>
    <w:rsid w:val="0024022B"/>
    <w:rsid w:val="00246361"/>
    <w:rsid w:val="002475D0"/>
    <w:rsid w:val="002553AF"/>
    <w:rsid w:val="00256CA7"/>
    <w:rsid w:val="00256D42"/>
    <w:rsid w:val="00261114"/>
    <w:rsid w:val="00263C09"/>
    <w:rsid w:val="002645F1"/>
    <w:rsid w:val="00264944"/>
    <w:rsid w:val="002664B7"/>
    <w:rsid w:val="00270FBA"/>
    <w:rsid w:val="00271314"/>
    <w:rsid w:val="00274315"/>
    <w:rsid w:val="002772FF"/>
    <w:rsid w:val="00277304"/>
    <w:rsid w:val="0027736E"/>
    <w:rsid w:val="00277A57"/>
    <w:rsid w:val="00283096"/>
    <w:rsid w:val="00284495"/>
    <w:rsid w:val="00285BD4"/>
    <w:rsid w:val="00286C3A"/>
    <w:rsid w:val="00287D7C"/>
    <w:rsid w:val="002906C5"/>
    <w:rsid w:val="002909C0"/>
    <w:rsid w:val="00294C1F"/>
    <w:rsid w:val="00294F4D"/>
    <w:rsid w:val="002A23A2"/>
    <w:rsid w:val="002A798D"/>
    <w:rsid w:val="002A7D5F"/>
    <w:rsid w:val="002B0B5F"/>
    <w:rsid w:val="002B17D6"/>
    <w:rsid w:val="002B4BF6"/>
    <w:rsid w:val="002B4EE5"/>
    <w:rsid w:val="002B7679"/>
    <w:rsid w:val="002C137A"/>
    <w:rsid w:val="002C2E8E"/>
    <w:rsid w:val="002C356E"/>
    <w:rsid w:val="002C5226"/>
    <w:rsid w:val="002C5410"/>
    <w:rsid w:val="002C5DD0"/>
    <w:rsid w:val="002C7BFC"/>
    <w:rsid w:val="002D06EA"/>
    <w:rsid w:val="002D186E"/>
    <w:rsid w:val="002D62CA"/>
    <w:rsid w:val="002D77C9"/>
    <w:rsid w:val="002E377D"/>
    <w:rsid w:val="002E43C4"/>
    <w:rsid w:val="002E4789"/>
    <w:rsid w:val="002E5574"/>
    <w:rsid w:val="002E5FC8"/>
    <w:rsid w:val="002E70A9"/>
    <w:rsid w:val="002E7C7A"/>
    <w:rsid w:val="002F0A80"/>
    <w:rsid w:val="002F1D69"/>
    <w:rsid w:val="002F3425"/>
    <w:rsid w:val="002F6293"/>
    <w:rsid w:val="00302010"/>
    <w:rsid w:val="00302065"/>
    <w:rsid w:val="0030765D"/>
    <w:rsid w:val="003134ED"/>
    <w:rsid w:val="00315487"/>
    <w:rsid w:val="00317B76"/>
    <w:rsid w:val="003219FF"/>
    <w:rsid w:val="00322348"/>
    <w:rsid w:val="0032272D"/>
    <w:rsid w:val="003230C8"/>
    <w:rsid w:val="00326081"/>
    <w:rsid w:val="00327A7A"/>
    <w:rsid w:val="00327FFC"/>
    <w:rsid w:val="00330957"/>
    <w:rsid w:val="00332547"/>
    <w:rsid w:val="003326CD"/>
    <w:rsid w:val="003336E1"/>
    <w:rsid w:val="0033381D"/>
    <w:rsid w:val="0033542D"/>
    <w:rsid w:val="00337F18"/>
    <w:rsid w:val="00344F3F"/>
    <w:rsid w:val="00345200"/>
    <w:rsid w:val="003452AC"/>
    <w:rsid w:val="00345C25"/>
    <w:rsid w:val="00351285"/>
    <w:rsid w:val="003570D0"/>
    <w:rsid w:val="00357627"/>
    <w:rsid w:val="00360795"/>
    <w:rsid w:val="003634A0"/>
    <w:rsid w:val="00363FC8"/>
    <w:rsid w:val="003650AC"/>
    <w:rsid w:val="00366639"/>
    <w:rsid w:val="0036685D"/>
    <w:rsid w:val="00366979"/>
    <w:rsid w:val="00371E1C"/>
    <w:rsid w:val="00376F02"/>
    <w:rsid w:val="003802B8"/>
    <w:rsid w:val="003807E6"/>
    <w:rsid w:val="003819B1"/>
    <w:rsid w:val="00381A99"/>
    <w:rsid w:val="00384D69"/>
    <w:rsid w:val="0038621F"/>
    <w:rsid w:val="00386ACA"/>
    <w:rsid w:val="00386ED3"/>
    <w:rsid w:val="0038723D"/>
    <w:rsid w:val="00391F31"/>
    <w:rsid w:val="00395681"/>
    <w:rsid w:val="00395C2C"/>
    <w:rsid w:val="003968FA"/>
    <w:rsid w:val="003A032B"/>
    <w:rsid w:val="003A339A"/>
    <w:rsid w:val="003A69F0"/>
    <w:rsid w:val="003A703C"/>
    <w:rsid w:val="003B0D9F"/>
    <w:rsid w:val="003B43DB"/>
    <w:rsid w:val="003B6010"/>
    <w:rsid w:val="003B71C4"/>
    <w:rsid w:val="003C0559"/>
    <w:rsid w:val="003C4B24"/>
    <w:rsid w:val="003C5D64"/>
    <w:rsid w:val="003C67BB"/>
    <w:rsid w:val="003C795A"/>
    <w:rsid w:val="003D4AC5"/>
    <w:rsid w:val="003D5A75"/>
    <w:rsid w:val="003D6831"/>
    <w:rsid w:val="003E2D12"/>
    <w:rsid w:val="003F1AE5"/>
    <w:rsid w:val="003F45CD"/>
    <w:rsid w:val="003F4C48"/>
    <w:rsid w:val="0040010C"/>
    <w:rsid w:val="00400F06"/>
    <w:rsid w:val="004019A5"/>
    <w:rsid w:val="00402BD9"/>
    <w:rsid w:val="00403999"/>
    <w:rsid w:val="00403B1B"/>
    <w:rsid w:val="00403B67"/>
    <w:rsid w:val="00403ECC"/>
    <w:rsid w:val="00403F57"/>
    <w:rsid w:val="004056D2"/>
    <w:rsid w:val="00407671"/>
    <w:rsid w:val="00411C22"/>
    <w:rsid w:val="00411F1F"/>
    <w:rsid w:val="00412DA1"/>
    <w:rsid w:val="00413E4F"/>
    <w:rsid w:val="004203A2"/>
    <w:rsid w:val="0042099E"/>
    <w:rsid w:val="00420E71"/>
    <w:rsid w:val="0042550F"/>
    <w:rsid w:val="00426633"/>
    <w:rsid w:val="00427E8C"/>
    <w:rsid w:val="00430263"/>
    <w:rsid w:val="00431CCD"/>
    <w:rsid w:val="0043385E"/>
    <w:rsid w:val="004340AD"/>
    <w:rsid w:val="00434F7C"/>
    <w:rsid w:val="00440DA0"/>
    <w:rsid w:val="00442918"/>
    <w:rsid w:val="00444C4B"/>
    <w:rsid w:val="00452CA4"/>
    <w:rsid w:val="00453F76"/>
    <w:rsid w:val="0045560C"/>
    <w:rsid w:val="00456F6A"/>
    <w:rsid w:val="0046027A"/>
    <w:rsid w:val="00461C13"/>
    <w:rsid w:val="0046468A"/>
    <w:rsid w:val="00466279"/>
    <w:rsid w:val="00467C0A"/>
    <w:rsid w:val="004759B1"/>
    <w:rsid w:val="00475A3F"/>
    <w:rsid w:val="00476674"/>
    <w:rsid w:val="00487169"/>
    <w:rsid w:val="00491323"/>
    <w:rsid w:val="00496786"/>
    <w:rsid w:val="00497DD5"/>
    <w:rsid w:val="004A16D4"/>
    <w:rsid w:val="004A3AD0"/>
    <w:rsid w:val="004A4064"/>
    <w:rsid w:val="004A47EE"/>
    <w:rsid w:val="004A7823"/>
    <w:rsid w:val="004B04CB"/>
    <w:rsid w:val="004B0789"/>
    <w:rsid w:val="004B2BCB"/>
    <w:rsid w:val="004B53B0"/>
    <w:rsid w:val="004B7EF3"/>
    <w:rsid w:val="004C0F0F"/>
    <w:rsid w:val="004C1A6B"/>
    <w:rsid w:val="004C1B97"/>
    <w:rsid w:val="004C44BD"/>
    <w:rsid w:val="004C63A2"/>
    <w:rsid w:val="004C7140"/>
    <w:rsid w:val="004C73D5"/>
    <w:rsid w:val="004C7B44"/>
    <w:rsid w:val="004D2D2B"/>
    <w:rsid w:val="004D3D07"/>
    <w:rsid w:val="004D7B48"/>
    <w:rsid w:val="004E1443"/>
    <w:rsid w:val="004E33A2"/>
    <w:rsid w:val="004E50C0"/>
    <w:rsid w:val="004E5A41"/>
    <w:rsid w:val="004E71ED"/>
    <w:rsid w:val="004F0D96"/>
    <w:rsid w:val="004F3500"/>
    <w:rsid w:val="004F6718"/>
    <w:rsid w:val="00501579"/>
    <w:rsid w:val="005046DC"/>
    <w:rsid w:val="00505376"/>
    <w:rsid w:val="00506E85"/>
    <w:rsid w:val="00510DA2"/>
    <w:rsid w:val="00511B23"/>
    <w:rsid w:val="00512BD5"/>
    <w:rsid w:val="0051358A"/>
    <w:rsid w:val="00520203"/>
    <w:rsid w:val="00520BAB"/>
    <w:rsid w:val="005229C8"/>
    <w:rsid w:val="00523EE8"/>
    <w:rsid w:val="0052798C"/>
    <w:rsid w:val="00534D8F"/>
    <w:rsid w:val="005379DB"/>
    <w:rsid w:val="0054344B"/>
    <w:rsid w:val="00547CF0"/>
    <w:rsid w:val="0055285D"/>
    <w:rsid w:val="00554544"/>
    <w:rsid w:val="0055717B"/>
    <w:rsid w:val="0056210A"/>
    <w:rsid w:val="00563AAA"/>
    <w:rsid w:val="005660ED"/>
    <w:rsid w:val="00571510"/>
    <w:rsid w:val="005766D8"/>
    <w:rsid w:val="005770B0"/>
    <w:rsid w:val="00577749"/>
    <w:rsid w:val="00580809"/>
    <w:rsid w:val="00583845"/>
    <w:rsid w:val="00583F85"/>
    <w:rsid w:val="005851A2"/>
    <w:rsid w:val="005925B3"/>
    <w:rsid w:val="005963ED"/>
    <w:rsid w:val="005A3EEC"/>
    <w:rsid w:val="005A51C0"/>
    <w:rsid w:val="005B304E"/>
    <w:rsid w:val="005B4263"/>
    <w:rsid w:val="005B45B4"/>
    <w:rsid w:val="005B4EBF"/>
    <w:rsid w:val="005B631A"/>
    <w:rsid w:val="005B68BF"/>
    <w:rsid w:val="005B7266"/>
    <w:rsid w:val="005B72C6"/>
    <w:rsid w:val="005B7A06"/>
    <w:rsid w:val="005C5163"/>
    <w:rsid w:val="005C56D7"/>
    <w:rsid w:val="005C5F81"/>
    <w:rsid w:val="005C62D9"/>
    <w:rsid w:val="005C6371"/>
    <w:rsid w:val="005D1BD8"/>
    <w:rsid w:val="005D1D0C"/>
    <w:rsid w:val="005D5AF8"/>
    <w:rsid w:val="005D5E5E"/>
    <w:rsid w:val="005D663F"/>
    <w:rsid w:val="005E07CF"/>
    <w:rsid w:val="005E1619"/>
    <w:rsid w:val="005E19D9"/>
    <w:rsid w:val="005E2297"/>
    <w:rsid w:val="005E3215"/>
    <w:rsid w:val="005E4BB9"/>
    <w:rsid w:val="005E6F6D"/>
    <w:rsid w:val="005E7F33"/>
    <w:rsid w:val="005F21B1"/>
    <w:rsid w:val="005F6B4B"/>
    <w:rsid w:val="005F7033"/>
    <w:rsid w:val="00600C0B"/>
    <w:rsid w:val="00601506"/>
    <w:rsid w:val="006039F5"/>
    <w:rsid w:val="006061CA"/>
    <w:rsid w:val="006073A5"/>
    <w:rsid w:val="006117D6"/>
    <w:rsid w:val="006125A5"/>
    <w:rsid w:val="00614EDE"/>
    <w:rsid w:val="0062014E"/>
    <w:rsid w:val="006209DC"/>
    <w:rsid w:val="00621FF3"/>
    <w:rsid w:val="00622064"/>
    <w:rsid w:val="006248D3"/>
    <w:rsid w:val="0062556A"/>
    <w:rsid w:val="00631058"/>
    <w:rsid w:val="00636CDB"/>
    <w:rsid w:val="006377DD"/>
    <w:rsid w:val="00641826"/>
    <w:rsid w:val="00647BD1"/>
    <w:rsid w:val="00647F15"/>
    <w:rsid w:val="0065031B"/>
    <w:rsid w:val="00651AC5"/>
    <w:rsid w:val="00652D06"/>
    <w:rsid w:val="00655A48"/>
    <w:rsid w:val="00656B77"/>
    <w:rsid w:val="00664736"/>
    <w:rsid w:val="00664B52"/>
    <w:rsid w:val="006654DD"/>
    <w:rsid w:val="00667DFC"/>
    <w:rsid w:val="00670979"/>
    <w:rsid w:val="006709A5"/>
    <w:rsid w:val="00671D67"/>
    <w:rsid w:val="00675CFA"/>
    <w:rsid w:val="006812F9"/>
    <w:rsid w:val="006825A4"/>
    <w:rsid w:val="006831AA"/>
    <w:rsid w:val="00683795"/>
    <w:rsid w:val="0068426C"/>
    <w:rsid w:val="00685A21"/>
    <w:rsid w:val="00686A2A"/>
    <w:rsid w:val="00687A18"/>
    <w:rsid w:val="00690D74"/>
    <w:rsid w:val="00692DBB"/>
    <w:rsid w:val="00693A6D"/>
    <w:rsid w:val="00694140"/>
    <w:rsid w:val="00697EFF"/>
    <w:rsid w:val="006A4721"/>
    <w:rsid w:val="006A4E6D"/>
    <w:rsid w:val="006B0820"/>
    <w:rsid w:val="006B259F"/>
    <w:rsid w:val="006B40D5"/>
    <w:rsid w:val="006B4E5C"/>
    <w:rsid w:val="006B57BA"/>
    <w:rsid w:val="006B7482"/>
    <w:rsid w:val="006C06FB"/>
    <w:rsid w:val="006C2283"/>
    <w:rsid w:val="006C25B0"/>
    <w:rsid w:val="006C5E87"/>
    <w:rsid w:val="006C5F46"/>
    <w:rsid w:val="006D1646"/>
    <w:rsid w:val="006E12D2"/>
    <w:rsid w:val="006E138E"/>
    <w:rsid w:val="006E1F4F"/>
    <w:rsid w:val="006E2280"/>
    <w:rsid w:val="006E31C0"/>
    <w:rsid w:val="006E3621"/>
    <w:rsid w:val="006F3D24"/>
    <w:rsid w:val="006F5C6D"/>
    <w:rsid w:val="0070007A"/>
    <w:rsid w:val="0070039D"/>
    <w:rsid w:val="00702003"/>
    <w:rsid w:val="00702E31"/>
    <w:rsid w:val="00702EA2"/>
    <w:rsid w:val="007069E6"/>
    <w:rsid w:val="007117F2"/>
    <w:rsid w:val="00712634"/>
    <w:rsid w:val="00712DDA"/>
    <w:rsid w:val="0071313D"/>
    <w:rsid w:val="00716225"/>
    <w:rsid w:val="0071623E"/>
    <w:rsid w:val="00716E9E"/>
    <w:rsid w:val="007244C1"/>
    <w:rsid w:val="007369DE"/>
    <w:rsid w:val="00744CC6"/>
    <w:rsid w:val="00745240"/>
    <w:rsid w:val="00751FB1"/>
    <w:rsid w:val="00753F87"/>
    <w:rsid w:val="0076396B"/>
    <w:rsid w:val="00763AB7"/>
    <w:rsid w:val="007676B3"/>
    <w:rsid w:val="00771A08"/>
    <w:rsid w:val="007720FE"/>
    <w:rsid w:val="00775505"/>
    <w:rsid w:val="00775AF2"/>
    <w:rsid w:val="007776B5"/>
    <w:rsid w:val="00777B31"/>
    <w:rsid w:val="00780D58"/>
    <w:rsid w:val="0078108B"/>
    <w:rsid w:val="0078168E"/>
    <w:rsid w:val="007818B1"/>
    <w:rsid w:val="007821BD"/>
    <w:rsid w:val="00784165"/>
    <w:rsid w:val="00785527"/>
    <w:rsid w:val="007859F4"/>
    <w:rsid w:val="007933D1"/>
    <w:rsid w:val="007A0D49"/>
    <w:rsid w:val="007A0DB6"/>
    <w:rsid w:val="007A1B53"/>
    <w:rsid w:val="007A1CB3"/>
    <w:rsid w:val="007A2C1F"/>
    <w:rsid w:val="007A4E4C"/>
    <w:rsid w:val="007A7245"/>
    <w:rsid w:val="007B299B"/>
    <w:rsid w:val="007B2F4F"/>
    <w:rsid w:val="007C4063"/>
    <w:rsid w:val="007C6C8E"/>
    <w:rsid w:val="007D0235"/>
    <w:rsid w:val="007D1526"/>
    <w:rsid w:val="007D2C4D"/>
    <w:rsid w:val="007D2F49"/>
    <w:rsid w:val="007D35D1"/>
    <w:rsid w:val="007D3D74"/>
    <w:rsid w:val="007D43EB"/>
    <w:rsid w:val="007D7477"/>
    <w:rsid w:val="007E5BA4"/>
    <w:rsid w:val="007E5EDD"/>
    <w:rsid w:val="007E7567"/>
    <w:rsid w:val="007F11CF"/>
    <w:rsid w:val="007F3E11"/>
    <w:rsid w:val="007F423A"/>
    <w:rsid w:val="007F4284"/>
    <w:rsid w:val="007F6577"/>
    <w:rsid w:val="007F7312"/>
    <w:rsid w:val="008019F3"/>
    <w:rsid w:val="00801C1B"/>
    <w:rsid w:val="008045D8"/>
    <w:rsid w:val="00806D2C"/>
    <w:rsid w:val="008077EC"/>
    <w:rsid w:val="00811ADE"/>
    <w:rsid w:val="00812857"/>
    <w:rsid w:val="0082014D"/>
    <w:rsid w:val="008209A4"/>
    <w:rsid w:val="00822D54"/>
    <w:rsid w:val="00822FB7"/>
    <w:rsid w:val="0082470E"/>
    <w:rsid w:val="00827EAB"/>
    <w:rsid w:val="0083123E"/>
    <w:rsid w:val="008313B0"/>
    <w:rsid w:val="0083510F"/>
    <w:rsid w:val="0083759A"/>
    <w:rsid w:val="00837625"/>
    <w:rsid w:val="008426AF"/>
    <w:rsid w:val="00845F4E"/>
    <w:rsid w:val="008527AB"/>
    <w:rsid w:val="008529A9"/>
    <w:rsid w:val="00852E81"/>
    <w:rsid w:val="008573E6"/>
    <w:rsid w:val="0085774A"/>
    <w:rsid w:val="008612D5"/>
    <w:rsid w:val="00867E62"/>
    <w:rsid w:val="00875DC3"/>
    <w:rsid w:val="00882EB0"/>
    <w:rsid w:val="0088362A"/>
    <w:rsid w:val="008836D9"/>
    <w:rsid w:val="00884052"/>
    <w:rsid w:val="0088563D"/>
    <w:rsid w:val="008876F5"/>
    <w:rsid w:val="00887FDF"/>
    <w:rsid w:val="00891A75"/>
    <w:rsid w:val="008A23D2"/>
    <w:rsid w:val="008A5B3C"/>
    <w:rsid w:val="008A73D2"/>
    <w:rsid w:val="008B089D"/>
    <w:rsid w:val="008B237E"/>
    <w:rsid w:val="008B4853"/>
    <w:rsid w:val="008B69A7"/>
    <w:rsid w:val="008B72C6"/>
    <w:rsid w:val="008C0D9E"/>
    <w:rsid w:val="008C1647"/>
    <w:rsid w:val="008C18AF"/>
    <w:rsid w:val="008C2406"/>
    <w:rsid w:val="008C4A60"/>
    <w:rsid w:val="008D19A7"/>
    <w:rsid w:val="008D49B6"/>
    <w:rsid w:val="008D6A90"/>
    <w:rsid w:val="008E1279"/>
    <w:rsid w:val="008E2485"/>
    <w:rsid w:val="008E53CB"/>
    <w:rsid w:val="008E79AC"/>
    <w:rsid w:val="008E7D45"/>
    <w:rsid w:val="008F4129"/>
    <w:rsid w:val="008F5701"/>
    <w:rsid w:val="008F6D36"/>
    <w:rsid w:val="009002D4"/>
    <w:rsid w:val="00903EB2"/>
    <w:rsid w:val="00915BAA"/>
    <w:rsid w:val="00920CB4"/>
    <w:rsid w:val="00922DD6"/>
    <w:rsid w:val="00925100"/>
    <w:rsid w:val="00925EDC"/>
    <w:rsid w:val="00925F37"/>
    <w:rsid w:val="00926488"/>
    <w:rsid w:val="00927A7F"/>
    <w:rsid w:val="00931AAB"/>
    <w:rsid w:val="00932EB0"/>
    <w:rsid w:val="00936374"/>
    <w:rsid w:val="00936FE5"/>
    <w:rsid w:val="00940195"/>
    <w:rsid w:val="0094245A"/>
    <w:rsid w:val="00942B63"/>
    <w:rsid w:val="00942E31"/>
    <w:rsid w:val="0094455D"/>
    <w:rsid w:val="00945C67"/>
    <w:rsid w:val="009507B2"/>
    <w:rsid w:val="00950949"/>
    <w:rsid w:val="00950C82"/>
    <w:rsid w:val="009522EF"/>
    <w:rsid w:val="009533AE"/>
    <w:rsid w:val="009626ED"/>
    <w:rsid w:val="009651E6"/>
    <w:rsid w:val="00967451"/>
    <w:rsid w:val="0097363F"/>
    <w:rsid w:val="00974B8B"/>
    <w:rsid w:val="009752C5"/>
    <w:rsid w:val="00975688"/>
    <w:rsid w:val="00977A8F"/>
    <w:rsid w:val="009807BB"/>
    <w:rsid w:val="00980F92"/>
    <w:rsid w:val="0098163B"/>
    <w:rsid w:val="0099066D"/>
    <w:rsid w:val="0099427D"/>
    <w:rsid w:val="0099484C"/>
    <w:rsid w:val="00995CF4"/>
    <w:rsid w:val="009A16B5"/>
    <w:rsid w:val="009A1FE8"/>
    <w:rsid w:val="009B1968"/>
    <w:rsid w:val="009B2214"/>
    <w:rsid w:val="009B2EDB"/>
    <w:rsid w:val="009B3176"/>
    <w:rsid w:val="009C1CA6"/>
    <w:rsid w:val="009C4150"/>
    <w:rsid w:val="009C5BF2"/>
    <w:rsid w:val="009D1329"/>
    <w:rsid w:val="009D20F5"/>
    <w:rsid w:val="009D23D1"/>
    <w:rsid w:val="009D38B5"/>
    <w:rsid w:val="009D4878"/>
    <w:rsid w:val="009F5A5C"/>
    <w:rsid w:val="009F6538"/>
    <w:rsid w:val="009F670F"/>
    <w:rsid w:val="009F702D"/>
    <w:rsid w:val="00A00416"/>
    <w:rsid w:val="00A01ECB"/>
    <w:rsid w:val="00A056B0"/>
    <w:rsid w:val="00A06DF8"/>
    <w:rsid w:val="00A10AD2"/>
    <w:rsid w:val="00A10FCE"/>
    <w:rsid w:val="00A1109C"/>
    <w:rsid w:val="00A11DB0"/>
    <w:rsid w:val="00A12D02"/>
    <w:rsid w:val="00A13660"/>
    <w:rsid w:val="00A17E6E"/>
    <w:rsid w:val="00A220F4"/>
    <w:rsid w:val="00A24CA7"/>
    <w:rsid w:val="00A26561"/>
    <w:rsid w:val="00A26918"/>
    <w:rsid w:val="00A27A96"/>
    <w:rsid w:val="00A310CB"/>
    <w:rsid w:val="00A31F46"/>
    <w:rsid w:val="00A349C5"/>
    <w:rsid w:val="00A34AE8"/>
    <w:rsid w:val="00A3787F"/>
    <w:rsid w:val="00A37CE5"/>
    <w:rsid w:val="00A37E87"/>
    <w:rsid w:val="00A4569C"/>
    <w:rsid w:val="00A50C99"/>
    <w:rsid w:val="00A50E56"/>
    <w:rsid w:val="00A51BE4"/>
    <w:rsid w:val="00A535F4"/>
    <w:rsid w:val="00A54464"/>
    <w:rsid w:val="00A54677"/>
    <w:rsid w:val="00A60604"/>
    <w:rsid w:val="00A607B2"/>
    <w:rsid w:val="00A65875"/>
    <w:rsid w:val="00A66579"/>
    <w:rsid w:val="00A71802"/>
    <w:rsid w:val="00A7415F"/>
    <w:rsid w:val="00A769A7"/>
    <w:rsid w:val="00A80790"/>
    <w:rsid w:val="00A82B9A"/>
    <w:rsid w:val="00A844FF"/>
    <w:rsid w:val="00A84886"/>
    <w:rsid w:val="00A8551A"/>
    <w:rsid w:val="00A9132A"/>
    <w:rsid w:val="00A914B3"/>
    <w:rsid w:val="00A914FD"/>
    <w:rsid w:val="00A932D8"/>
    <w:rsid w:val="00A94553"/>
    <w:rsid w:val="00AA0527"/>
    <w:rsid w:val="00AA103B"/>
    <w:rsid w:val="00AA167A"/>
    <w:rsid w:val="00AA3167"/>
    <w:rsid w:val="00AA5A30"/>
    <w:rsid w:val="00AA67E1"/>
    <w:rsid w:val="00AA7FBD"/>
    <w:rsid w:val="00AB493D"/>
    <w:rsid w:val="00AB643A"/>
    <w:rsid w:val="00AB6BDA"/>
    <w:rsid w:val="00AB7CD7"/>
    <w:rsid w:val="00AC2F99"/>
    <w:rsid w:val="00AC5969"/>
    <w:rsid w:val="00AC5AEE"/>
    <w:rsid w:val="00AC5EE5"/>
    <w:rsid w:val="00AC6314"/>
    <w:rsid w:val="00AD10E4"/>
    <w:rsid w:val="00AD416D"/>
    <w:rsid w:val="00AD588F"/>
    <w:rsid w:val="00AD785E"/>
    <w:rsid w:val="00AE0355"/>
    <w:rsid w:val="00AE18BD"/>
    <w:rsid w:val="00AE5A4A"/>
    <w:rsid w:val="00AF5CC9"/>
    <w:rsid w:val="00B00E15"/>
    <w:rsid w:val="00B02D27"/>
    <w:rsid w:val="00B03A3E"/>
    <w:rsid w:val="00B04245"/>
    <w:rsid w:val="00B070D9"/>
    <w:rsid w:val="00B10B8A"/>
    <w:rsid w:val="00B129D8"/>
    <w:rsid w:val="00B13C3F"/>
    <w:rsid w:val="00B140BE"/>
    <w:rsid w:val="00B17267"/>
    <w:rsid w:val="00B258FB"/>
    <w:rsid w:val="00B25B71"/>
    <w:rsid w:val="00B26CC6"/>
    <w:rsid w:val="00B32B1B"/>
    <w:rsid w:val="00B33241"/>
    <w:rsid w:val="00B343BA"/>
    <w:rsid w:val="00B3514A"/>
    <w:rsid w:val="00B37324"/>
    <w:rsid w:val="00B402D1"/>
    <w:rsid w:val="00B43040"/>
    <w:rsid w:val="00B44EDD"/>
    <w:rsid w:val="00B453F4"/>
    <w:rsid w:val="00B46DEE"/>
    <w:rsid w:val="00B47717"/>
    <w:rsid w:val="00B51E60"/>
    <w:rsid w:val="00B52B8B"/>
    <w:rsid w:val="00B62FF0"/>
    <w:rsid w:val="00B66EA3"/>
    <w:rsid w:val="00B720F6"/>
    <w:rsid w:val="00B7226B"/>
    <w:rsid w:val="00B73863"/>
    <w:rsid w:val="00B74417"/>
    <w:rsid w:val="00B75F4F"/>
    <w:rsid w:val="00B80998"/>
    <w:rsid w:val="00B80BE6"/>
    <w:rsid w:val="00B8268C"/>
    <w:rsid w:val="00B83962"/>
    <w:rsid w:val="00B8546A"/>
    <w:rsid w:val="00B855A1"/>
    <w:rsid w:val="00B872A7"/>
    <w:rsid w:val="00B912C4"/>
    <w:rsid w:val="00B9259A"/>
    <w:rsid w:val="00B92A2C"/>
    <w:rsid w:val="00B946E1"/>
    <w:rsid w:val="00B9767B"/>
    <w:rsid w:val="00BA1260"/>
    <w:rsid w:val="00BA16EF"/>
    <w:rsid w:val="00BA1B61"/>
    <w:rsid w:val="00BA534E"/>
    <w:rsid w:val="00BA57B2"/>
    <w:rsid w:val="00BC0A68"/>
    <w:rsid w:val="00BC0D70"/>
    <w:rsid w:val="00BD6EC2"/>
    <w:rsid w:val="00BE07AC"/>
    <w:rsid w:val="00BE1A57"/>
    <w:rsid w:val="00BE3443"/>
    <w:rsid w:val="00BF3848"/>
    <w:rsid w:val="00BF6306"/>
    <w:rsid w:val="00BF7D56"/>
    <w:rsid w:val="00C03053"/>
    <w:rsid w:val="00C03828"/>
    <w:rsid w:val="00C04258"/>
    <w:rsid w:val="00C05ABD"/>
    <w:rsid w:val="00C06ABB"/>
    <w:rsid w:val="00C127F0"/>
    <w:rsid w:val="00C133BF"/>
    <w:rsid w:val="00C13742"/>
    <w:rsid w:val="00C13830"/>
    <w:rsid w:val="00C13DB1"/>
    <w:rsid w:val="00C153AD"/>
    <w:rsid w:val="00C172E7"/>
    <w:rsid w:val="00C2457A"/>
    <w:rsid w:val="00C26EEA"/>
    <w:rsid w:val="00C27CD7"/>
    <w:rsid w:val="00C351D6"/>
    <w:rsid w:val="00C354BC"/>
    <w:rsid w:val="00C371D5"/>
    <w:rsid w:val="00C44F79"/>
    <w:rsid w:val="00C46950"/>
    <w:rsid w:val="00C469CB"/>
    <w:rsid w:val="00C47AFB"/>
    <w:rsid w:val="00C50968"/>
    <w:rsid w:val="00C52B5A"/>
    <w:rsid w:val="00C530E3"/>
    <w:rsid w:val="00C545F6"/>
    <w:rsid w:val="00C63E9C"/>
    <w:rsid w:val="00C64C98"/>
    <w:rsid w:val="00C65DF7"/>
    <w:rsid w:val="00C661C1"/>
    <w:rsid w:val="00C66DE6"/>
    <w:rsid w:val="00C703FB"/>
    <w:rsid w:val="00C72998"/>
    <w:rsid w:val="00C72FB1"/>
    <w:rsid w:val="00C76452"/>
    <w:rsid w:val="00C76C03"/>
    <w:rsid w:val="00C81447"/>
    <w:rsid w:val="00C86A6A"/>
    <w:rsid w:val="00C87A46"/>
    <w:rsid w:val="00C87C54"/>
    <w:rsid w:val="00C97634"/>
    <w:rsid w:val="00C97D88"/>
    <w:rsid w:val="00CA1ADA"/>
    <w:rsid w:val="00CA3C85"/>
    <w:rsid w:val="00CA4F1B"/>
    <w:rsid w:val="00CA613C"/>
    <w:rsid w:val="00CA72E2"/>
    <w:rsid w:val="00CB067D"/>
    <w:rsid w:val="00CB27BE"/>
    <w:rsid w:val="00CC2BD3"/>
    <w:rsid w:val="00CC5D97"/>
    <w:rsid w:val="00CC7F1A"/>
    <w:rsid w:val="00CD1DA8"/>
    <w:rsid w:val="00CD205F"/>
    <w:rsid w:val="00CD2D13"/>
    <w:rsid w:val="00CD4811"/>
    <w:rsid w:val="00CD6053"/>
    <w:rsid w:val="00CD62F4"/>
    <w:rsid w:val="00CD653E"/>
    <w:rsid w:val="00CD7BBF"/>
    <w:rsid w:val="00CE1159"/>
    <w:rsid w:val="00CE4491"/>
    <w:rsid w:val="00CE4C19"/>
    <w:rsid w:val="00CE56D2"/>
    <w:rsid w:val="00CE6608"/>
    <w:rsid w:val="00CE6C68"/>
    <w:rsid w:val="00CE7762"/>
    <w:rsid w:val="00CE7D43"/>
    <w:rsid w:val="00CF1F8D"/>
    <w:rsid w:val="00CF4487"/>
    <w:rsid w:val="00CF79ED"/>
    <w:rsid w:val="00D01325"/>
    <w:rsid w:val="00D02F6E"/>
    <w:rsid w:val="00D10310"/>
    <w:rsid w:val="00D11812"/>
    <w:rsid w:val="00D1300F"/>
    <w:rsid w:val="00D1460A"/>
    <w:rsid w:val="00D17520"/>
    <w:rsid w:val="00D2379F"/>
    <w:rsid w:val="00D255FF"/>
    <w:rsid w:val="00D25E58"/>
    <w:rsid w:val="00D27E3F"/>
    <w:rsid w:val="00D31840"/>
    <w:rsid w:val="00D33A5D"/>
    <w:rsid w:val="00D3453C"/>
    <w:rsid w:val="00D353EF"/>
    <w:rsid w:val="00D36379"/>
    <w:rsid w:val="00D379F3"/>
    <w:rsid w:val="00D410E1"/>
    <w:rsid w:val="00D41AF7"/>
    <w:rsid w:val="00D4207A"/>
    <w:rsid w:val="00D452B4"/>
    <w:rsid w:val="00D459D3"/>
    <w:rsid w:val="00D464DB"/>
    <w:rsid w:val="00D466C3"/>
    <w:rsid w:val="00D473BC"/>
    <w:rsid w:val="00D47770"/>
    <w:rsid w:val="00D5164E"/>
    <w:rsid w:val="00D52518"/>
    <w:rsid w:val="00D53153"/>
    <w:rsid w:val="00D53CF4"/>
    <w:rsid w:val="00D5421F"/>
    <w:rsid w:val="00D54A38"/>
    <w:rsid w:val="00D5555F"/>
    <w:rsid w:val="00D56613"/>
    <w:rsid w:val="00D566E9"/>
    <w:rsid w:val="00D57B74"/>
    <w:rsid w:val="00D60671"/>
    <w:rsid w:val="00D60975"/>
    <w:rsid w:val="00D61801"/>
    <w:rsid w:val="00D631E5"/>
    <w:rsid w:val="00D64151"/>
    <w:rsid w:val="00D65823"/>
    <w:rsid w:val="00D67612"/>
    <w:rsid w:val="00D67EB8"/>
    <w:rsid w:val="00D730D7"/>
    <w:rsid w:val="00D76BB9"/>
    <w:rsid w:val="00D809D1"/>
    <w:rsid w:val="00D82844"/>
    <w:rsid w:val="00D84B7D"/>
    <w:rsid w:val="00D873DD"/>
    <w:rsid w:val="00D8749A"/>
    <w:rsid w:val="00D9039C"/>
    <w:rsid w:val="00D90916"/>
    <w:rsid w:val="00D90F5E"/>
    <w:rsid w:val="00D94CB0"/>
    <w:rsid w:val="00D95AAB"/>
    <w:rsid w:val="00D9640A"/>
    <w:rsid w:val="00D97861"/>
    <w:rsid w:val="00DA318E"/>
    <w:rsid w:val="00DA4BE6"/>
    <w:rsid w:val="00DA665B"/>
    <w:rsid w:val="00DB18BC"/>
    <w:rsid w:val="00DB5557"/>
    <w:rsid w:val="00DB732D"/>
    <w:rsid w:val="00DC2CCE"/>
    <w:rsid w:val="00DC39F9"/>
    <w:rsid w:val="00DC3A0F"/>
    <w:rsid w:val="00DC3ED8"/>
    <w:rsid w:val="00DC57F8"/>
    <w:rsid w:val="00DC6ECD"/>
    <w:rsid w:val="00DD53E7"/>
    <w:rsid w:val="00DE014F"/>
    <w:rsid w:val="00DE026C"/>
    <w:rsid w:val="00DE05B7"/>
    <w:rsid w:val="00DE36C3"/>
    <w:rsid w:val="00DF23D8"/>
    <w:rsid w:val="00DF321B"/>
    <w:rsid w:val="00DF5936"/>
    <w:rsid w:val="00E01984"/>
    <w:rsid w:val="00E03E36"/>
    <w:rsid w:val="00E047A2"/>
    <w:rsid w:val="00E11E2B"/>
    <w:rsid w:val="00E122A9"/>
    <w:rsid w:val="00E1499D"/>
    <w:rsid w:val="00E1688F"/>
    <w:rsid w:val="00E16F0C"/>
    <w:rsid w:val="00E175A9"/>
    <w:rsid w:val="00E233CB"/>
    <w:rsid w:val="00E26C8E"/>
    <w:rsid w:val="00E34422"/>
    <w:rsid w:val="00E37443"/>
    <w:rsid w:val="00E40C36"/>
    <w:rsid w:val="00E4119C"/>
    <w:rsid w:val="00E4159E"/>
    <w:rsid w:val="00E4457A"/>
    <w:rsid w:val="00E45E7F"/>
    <w:rsid w:val="00E47029"/>
    <w:rsid w:val="00E50352"/>
    <w:rsid w:val="00E52BE7"/>
    <w:rsid w:val="00E54203"/>
    <w:rsid w:val="00E55B4E"/>
    <w:rsid w:val="00E613C9"/>
    <w:rsid w:val="00E647AA"/>
    <w:rsid w:val="00E65874"/>
    <w:rsid w:val="00E65B71"/>
    <w:rsid w:val="00E709DC"/>
    <w:rsid w:val="00E71C4D"/>
    <w:rsid w:val="00E738A7"/>
    <w:rsid w:val="00E82D48"/>
    <w:rsid w:val="00E84038"/>
    <w:rsid w:val="00E86ED3"/>
    <w:rsid w:val="00E90BF6"/>
    <w:rsid w:val="00E92962"/>
    <w:rsid w:val="00E92FFD"/>
    <w:rsid w:val="00E964E3"/>
    <w:rsid w:val="00EA148E"/>
    <w:rsid w:val="00EA1C39"/>
    <w:rsid w:val="00EA25F5"/>
    <w:rsid w:val="00EA305C"/>
    <w:rsid w:val="00EA4156"/>
    <w:rsid w:val="00EA443D"/>
    <w:rsid w:val="00EB0B31"/>
    <w:rsid w:val="00EB6280"/>
    <w:rsid w:val="00EB74AD"/>
    <w:rsid w:val="00EC0DC9"/>
    <w:rsid w:val="00EC0E3B"/>
    <w:rsid w:val="00EC1934"/>
    <w:rsid w:val="00EC3D30"/>
    <w:rsid w:val="00EC51F9"/>
    <w:rsid w:val="00EC6733"/>
    <w:rsid w:val="00ED0211"/>
    <w:rsid w:val="00ED4904"/>
    <w:rsid w:val="00ED4AA8"/>
    <w:rsid w:val="00ED5F24"/>
    <w:rsid w:val="00EE1C7C"/>
    <w:rsid w:val="00EE403F"/>
    <w:rsid w:val="00EE4A54"/>
    <w:rsid w:val="00EE4E2B"/>
    <w:rsid w:val="00EE5845"/>
    <w:rsid w:val="00EE6281"/>
    <w:rsid w:val="00EE69E1"/>
    <w:rsid w:val="00EF36FA"/>
    <w:rsid w:val="00EF4503"/>
    <w:rsid w:val="00EF6181"/>
    <w:rsid w:val="00F01E1C"/>
    <w:rsid w:val="00F045D9"/>
    <w:rsid w:val="00F12187"/>
    <w:rsid w:val="00F1371D"/>
    <w:rsid w:val="00F1387F"/>
    <w:rsid w:val="00F152B6"/>
    <w:rsid w:val="00F1685A"/>
    <w:rsid w:val="00F171CA"/>
    <w:rsid w:val="00F23219"/>
    <w:rsid w:val="00F27748"/>
    <w:rsid w:val="00F27C24"/>
    <w:rsid w:val="00F27E9F"/>
    <w:rsid w:val="00F3514C"/>
    <w:rsid w:val="00F42BBA"/>
    <w:rsid w:val="00F44B24"/>
    <w:rsid w:val="00F4701E"/>
    <w:rsid w:val="00F47E70"/>
    <w:rsid w:val="00F51A1D"/>
    <w:rsid w:val="00F55FEA"/>
    <w:rsid w:val="00F56BCC"/>
    <w:rsid w:val="00F609C9"/>
    <w:rsid w:val="00F62917"/>
    <w:rsid w:val="00F666D4"/>
    <w:rsid w:val="00F67EE4"/>
    <w:rsid w:val="00F760E2"/>
    <w:rsid w:val="00F8173A"/>
    <w:rsid w:val="00F8379D"/>
    <w:rsid w:val="00F86F41"/>
    <w:rsid w:val="00F91475"/>
    <w:rsid w:val="00F93098"/>
    <w:rsid w:val="00F9578D"/>
    <w:rsid w:val="00F96D09"/>
    <w:rsid w:val="00FA01A4"/>
    <w:rsid w:val="00FA4ADE"/>
    <w:rsid w:val="00FB2145"/>
    <w:rsid w:val="00FB2EA6"/>
    <w:rsid w:val="00FB421F"/>
    <w:rsid w:val="00FC129D"/>
    <w:rsid w:val="00FD0BDF"/>
    <w:rsid w:val="00FD1287"/>
    <w:rsid w:val="00FD477B"/>
    <w:rsid w:val="00FE07B6"/>
    <w:rsid w:val="00FE196F"/>
    <w:rsid w:val="00FE2A5E"/>
    <w:rsid w:val="00FE2BA6"/>
    <w:rsid w:val="00FE4816"/>
    <w:rsid w:val="00FE74C7"/>
    <w:rsid w:val="00FF459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918A37D"/>
  <w15:docId w15:val="{818FA69D-D9F0-4DA0-94F9-7FD108A76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3"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SoSBrdtextindragfrstaraden"/>
    <w:semiHidden/>
    <w:qFormat/>
    <w:rsid w:val="00345C25"/>
    <w:pPr>
      <w:spacing w:line="264" w:lineRule="atLeast"/>
    </w:pPr>
    <w:rPr>
      <w:color w:val="452325" w:themeColor="accent6"/>
      <w:sz w:val="22"/>
    </w:rPr>
  </w:style>
  <w:style w:type="paragraph" w:styleId="Rubrik1">
    <w:name w:val="heading 1"/>
    <w:basedOn w:val="Normal"/>
    <w:next w:val="Normal"/>
    <w:semiHidden/>
    <w:qFormat/>
    <w:rsid w:val="00563AAA"/>
    <w:pPr>
      <w:keepNext/>
      <w:suppressAutoHyphens/>
      <w:spacing w:after="160" w:line="336" w:lineRule="atLeast"/>
      <w:outlineLvl w:val="0"/>
    </w:pPr>
    <w:rPr>
      <w:rFonts w:asciiTheme="majorHAnsi" w:hAnsiTheme="majorHAnsi"/>
      <w:b/>
      <w:kern w:val="28"/>
      <w:sz w:val="28"/>
    </w:rPr>
  </w:style>
  <w:style w:type="paragraph" w:styleId="Rubrik2">
    <w:name w:val="heading 2"/>
    <w:basedOn w:val="Normal"/>
    <w:next w:val="Normal"/>
    <w:semiHidden/>
    <w:qFormat/>
    <w:rsid w:val="00563AAA"/>
    <w:pPr>
      <w:keepNext/>
      <w:suppressAutoHyphens/>
      <w:outlineLvl w:val="1"/>
    </w:pPr>
    <w:rPr>
      <w:rFonts w:asciiTheme="majorHAnsi" w:hAnsiTheme="majorHAnsi"/>
      <w:b/>
    </w:rPr>
  </w:style>
  <w:style w:type="paragraph" w:styleId="Rubrik3">
    <w:name w:val="heading 3"/>
    <w:basedOn w:val="Normal"/>
    <w:next w:val="Normal"/>
    <w:semiHidden/>
    <w:qFormat/>
    <w:rsid w:val="00563AAA"/>
    <w:pPr>
      <w:keepNext/>
      <w:suppressAutoHyphens/>
      <w:outlineLvl w:val="2"/>
    </w:pPr>
    <w:rPr>
      <w:i/>
    </w:rPr>
  </w:style>
  <w:style w:type="paragraph" w:styleId="Rubrik4">
    <w:name w:val="heading 4"/>
    <w:basedOn w:val="Normal"/>
    <w:next w:val="Normal"/>
    <w:semiHidden/>
    <w:rsid w:val="007933D1"/>
    <w:pPr>
      <w:keepNext/>
      <w:spacing w:before="240" w:after="60"/>
      <w:outlineLvl w:val="3"/>
    </w:pPr>
    <w:rPr>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EE4E2B"/>
  </w:style>
  <w:style w:type="paragraph" w:styleId="Sidfot">
    <w:name w:val="footer"/>
    <w:basedOn w:val="Normal"/>
    <w:link w:val="SidfotChar"/>
    <w:semiHidden/>
    <w:rsid w:val="00C371D5"/>
    <w:pPr>
      <w:tabs>
        <w:tab w:val="left" w:pos="0"/>
        <w:tab w:val="left" w:pos="2608"/>
        <w:tab w:val="left" w:pos="5216"/>
        <w:tab w:val="left" w:pos="7371"/>
      </w:tabs>
      <w:spacing w:line="192" w:lineRule="exact"/>
      <w:ind w:left="-2552"/>
    </w:pPr>
    <w:rPr>
      <w:rFonts w:ascii="Century Gothic" w:hAnsi="Century Gothic"/>
      <w:sz w:val="16"/>
    </w:rPr>
  </w:style>
  <w:style w:type="character" w:styleId="Sidnummer">
    <w:name w:val="page number"/>
    <w:basedOn w:val="Standardstycketeckensnitt"/>
    <w:uiPriority w:val="8"/>
    <w:semiHidden/>
    <w:rsid w:val="002018F2"/>
    <w:rPr>
      <w:color w:val="auto"/>
    </w:rPr>
  </w:style>
  <w:style w:type="paragraph" w:styleId="Ballongtext">
    <w:name w:val="Balloon Text"/>
    <w:basedOn w:val="Normal"/>
    <w:link w:val="BallongtextChar"/>
    <w:uiPriority w:val="99"/>
    <w:semiHidden/>
    <w:rsid w:val="0046468A"/>
    <w:rPr>
      <w:rFonts w:ascii="Tahoma" w:hAnsi="Tahoma" w:cs="Tahoma"/>
      <w:sz w:val="16"/>
      <w:szCs w:val="16"/>
    </w:rPr>
  </w:style>
  <w:style w:type="character" w:customStyle="1" w:styleId="BallongtextChar">
    <w:name w:val="Ballongtext Char"/>
    <w:link w:val="Ballongtext"/>
    <w:uiPriority w:val="99"/>
    <w:semiHidden/>
    <w:rsid w:val="00AB493D"/>
    <w:rPr>
      <w:rFonts w:ascii="Tahoma" w:hAnsi="Tahoma" w:cs="Tahoma"/>
      <w:sz w:val="16"/>
      <w:szCs w:val="16"/>
    </w:rPr>
  </w:style>
  <w:style w:type="table" w:styleId="Tabellrutnt">
    <w:name w:val="Table Grid"/>
    <w:basedOn w:val="Normaltabell"/>
    <w:uiPriority w:val="59"/>
    <w:rsid w:val="005B30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dfotChar">
    <w:name w:val="Sidfot Char"/>
    <w:link w:val="Sidfot"/>
    <w:semiHidden/>
    <w:rsid w:val="003650AC"/>
    <w:rPr>
      <w:rFonts w:ascii="Century Gothic" w:hAnsi="Century Gothic"/>
      <w:sz w:val="16"/>
    </w:rPr>
  </w:style>
  <w:style w:type="character" w:customStyle="1" w:styleId="SidhuvudChar">
    <w:name w:val="Sidhuvud Char"/>
    <w:link w:val="Sidhuvud"/>
    <w:semiHidden/>
    <w:rsid w:val="00C03828"/>
    <w:rPr>
      <w:sz w:val="22"/>
    </w:rPr>
  </w:style>
  <w:style w:type="paragraph" w:customStyle="1" w:styleId="SoSAvsndaradress">
    <w:name w:val="SoS_Avsändaradress"/>
    <w:basedOn w:val="Sidhuvud"/>
    <w:uiPriority w:val="7"/>
    <w:rsid w:val="00DE36C3"/>
    <w:pPr>
      <w:spacing w:line="240" w:lineRule="exact"/>
    </w:pPr>
    <w:rPr>
      <w:noProof/>
      <w:color w:val="000000" w:themeColor="text1"/>
      <w:sz w:val="20"/>
    </w:rPr>
  </w:style>
  <w:style w:type="character" w:styleId="Platshllartext">
    <w:name w:val="Placeholder Text"/>
    <w:basedOn w:val="Standardstycketeckensnitt"/>
    <w:uiPriority w:val="99"/>
    <w:semiHidden/>
    <w:rsid w:val="00C545F6"/>
    <w:rPr>
      <w:color w:val="808080"/>
    </w:rPr>
  </w:style>
  <w:style w:type="paragraph" w:styleId="Punktlista">
    <w:name w:val="List Bullet"/>
    <w:basedOn w:val="Sidhuvud"/>
    <w:uiPriority w:val="99"/>
    <w:semiHidden/>
    <w:qFormat/>
    <w:rsid w:val="00C03828"/>
    <w:pPr>
      <w:numPr>
        <w:numId w:val="6"/>
      </w:numPr>
      <w:ind w:left="306" w:hanging="306"/>
      <w:contextualSpacing/>
    </w:pPr>
  </w:style>
  <w:style w:type="paragraph" w:styleId="Datum">
    <w:name w:val="Date"/>
    <w:basedOn w:val="Normal"/>
    <w:next w:val="Normal"/>
    <w:link w:val="DatumChar"/>
    <w:uiPriority w:val="99"/>
    <w:semiHidden/>
    <w:rsid w:val="00C03828"/>
    <w:pPr>
      <w:spacing w:line="200" w:lineRule="exact"/>
    </w:pPr>
  </w:style>
  <w:style w:type="character" w:customStyle="1" w:styleId="DatumChar">
    <w:name w:val="Datum Char"/>
    <w:basedOn w:val="Standardstycketeckensnitt"/>
    <w:link w:val="Datum"/>
    <w:uiPriority w:val="99"/>
    <w:semiHidden/>
    <w:rsid w:val="003650AC"/>
    <w:rPr>
      <w:sz w:val="22"/>
    </w:rPr>
  </w:style>
  <w:style w:type="character" w:styleId="Hyperlnk">
    <w:name w:val="Hyperlink"/>
    <w:basedOn w:val="Standardstycketeckensnitt"/>
    <w:uiPriority w:val="99"/>
    <w:semiHidden/>
    <w:rsid w:val="00DE36C3"/>
    <w:rPr>
      <w:color w:val="000000" w:themeColor="text1"/>
      <w:u w:val="none"/>
    </w:rPr>
  </w:style>
  <w:style w:type="paragraph" w:styleId="Adress-brev">
    <w:name w:val="envelope address"/>
    <w:basedOn w:val="Normal"/>
    <w:uiPriority w:val="99"/>
    <w:semiHidden/>
    <w:qFormat/>
    <w:rsid w:val="00C03828"/>
  </w:style>
  <w:style w:type="paragraph" w:customStyle="1" w:styleId="SoSBrdtext">
    <w:name w:val="SoS_Brödtext"/>
    <w:basedOn w:val="Normal"/>
    <w:next w:val="SoSBrdtextindragfrstaraden"/>
    <w:uiPriority w:val="1"/>
    <w:qFormat/>
    <w:rsid w:val="00DE36C3"/>
    <w:rPr>
      <w:color w:val="000000" w:themeColor="text1"/>
    </w:rPr>
  </w:style>
  <w:style w:type="paragraph" w:customStyle="1" w:styleId="SoSRubrik1">
    <w:name w:val="SoS_Rubrik 1"/>
    <w:basedOn w:val="Rubrik1"/>
    <w:next w:val="SoSBrdtext"/>
    <w:qFormat/>
    <w:rsid w:val="00DE36C3"/>
    <w:pPr>
      <w:spacing w:line="480" w:lineRule="atLeast"/>
    </w:pPr>
    <w:rPr>
      <w:rFonts w:ascii="Times New Roman" w:hAnsi="Times New Roman"/>
      <w:b w:val="0"/>
      <w:color w:val="000000" w:themeColor="text1"/>
      <w:sz w:val="40"/>
    </w:rPr>
  </w:style>
  <w:style w:type="paragraph" w:customStyle="1" w:styleId="SoSRubrik2">
    <w:name w:val="SoS_Rubrik 2"/>
    <w:basedOn w:val="Rubrik2"/>
    <w:next w:val="SoSBrdtext"/>
    <w:qFormat/>
    <w:rsid w:val="00DE36C3"/>
    <w:pPr>
      <w:spacing w:before="160" w:after="80" w:line="336" w:lineRule="atLeast"/>
    </w:pPr>
    <w:rPr>
      <w:rFonts w:ascii="Times New Roman" w:hAnsi="Times New Roman"/>
      <w:color w:val="000000" w:themeColor="text1"/>
      <w:sz w:val="28"/>
    </w:rPr>
  </w:style>
  <w:style w:type="paragraph" w:customStyle="1" w:styleId="SoSRubrik3">
    <w:name w:val="SoS_Rubrik 3"/>
    <w:basedOn w:val="Rubrik3"/>
    <w:next w:val="SoSBrdtext"/>
    <w:rsid w:val="00667DFC"/>
    <w:pPr>
      <w:spacing w:before="160" w:after="80" w:line="336" w:lineRule="atLeast"/>
    </w:pPr>
    <w:rPr>
      <w:b/>
      <w:color w:val="000000" w:themeColor="text1"/>
      <w:sz w:val="24"/>
    </w:rPr>
  </w:style>
  <w:style w:type="paragraph" w:customStyle="1" w:styleId="SoSSidfot">
    <w:name w:val="SoS_Sidfot"/>
    <w:basedOn w:val="Sidfot"/>
    <w:uiPriority w:val="7"/>
    <w:rsid w:val="00DE36C3"/>
    <w:pPr>
      <w:tabs>
        <w:tab w:val="clear" w:pos="0"/>
        <w:tab w:val="clear" w:pos="2608"/>
        <w:tab w:val="clear" w:pos="5216"/>
      </w:tabs>
      <w:ind w:left="0"/>
    </w:pPr>
    <w:rPr>
      <w:color w:val="000000" w:themeColor="text1"/>
    </w:rPr>
  </w:style>
  <w:style w:type="paragraph" w:customStyle="1" w:styleId="SoSMottagaradress">
    <w:name w:val="SoS_Mottagaradress"/>
    <w:basedOn w:val="Adress-brev"/>
    <w:uiPriority w:val="7"/>
    <w:rsid w:val="00DE36C3"/>
    <w:rPr>
      <w:color w:val="000000" w:themeColor="text1"/>
    </w:rPr>
  </w:style>
  <w:style w:type="paragraph" w:customStyle="1" w:styleId="SoSDatum">
    <w:name w:val="SoS_Datum"/>
    <w:basedOn w:val="Datum"/>
    <w:uiPriority w:val="7"/>
    <w:rsid w:val="00DE36C3"/>
    <w:rPr>
      <w:color w:val="000000" w:themeColor="text1"/>
    </w:rPr>
  </w:style>
  <w:style w:type="paragraph" w:customStyle="1" w:styleId="SoSNumreradlista">
    <w:name w:val="SoS_Numrerad lista"/>
    <w:basedOn w:val="Normal"/>
    <w:link w:val="SoSNumreradlistaChar"/>
    <w:uiPriority w:val="2"/>
    <w:rsid w:val="00E1688F"/>
    <w:pPr>
      <w:numPr>
        <w:numId w:val="15"/>
      </w:numPr>
      <w:spacing w:before="160" w:after="160" w:line="276" w:lineRule="atLeast"/>
      <w:contextualSpacing/>
    </w:pPr>
    <w:rPr>
      <w:color w:val="000000" w:themeColor="text1"/>
      <w:sz w:val="23"/>
    </w:rPr>
  </w:style>
  <w:style w:type="paragraph" w:customStyle="1" w:styleId="Diarienummer">
    <w:name w:val="Diarienummer"/>
    <w:basedOn w:val="Normal"/>
    <w:semiHidden/>
    <w:qFormat/>
    <w:rsid w:val="00AA3167"/>
    <w:pPr>
      <w:spacing w:line="200" w:lineRule="exact"/>
    </w:pPr>
  </w:style>
  <w:style w:type="paragraph" w:customStyle="1" w:styleId="SoSDokumentbeteckning">
    <w:name w:val="SoS_Dokumentbeteckning"/>
    <w:basedOn w:val="SoSMottagaradress"/>
    <w:uiPriority w:val="7"/>
    <w:rsid w:val="00DE36C3"/>
  </w:style>
  <w:style w:type="paragraph" w:customStyle="1" w:styleId="SoSRubrik4">
    <w:name w:val="SoS_Rubrik 4"/>
    <w:basedOn w:val="SoSBrdtext"/>
    <w:next w:val="SoSBrdtext"/>
    <w:rsid w:val="00667DFC"/>
    <w:pPr>
      <w:spacing w:before="120" w:after="40"/>
    </w:pPr>
    <w:rPr>
      <w:sz w:val="24"/>
    </w:rPr>
  </w:style>
  <w:style w:type="paragraph" w:customStyle="1" w:styleId="SoSBrdtextindragfrstaraden">
    <w:name w:val="SoS_Brödtext indrag första raden"/>
    <w:basedOn w:val="SoSBrdtext"/>
    <w:uiPriority w:val="1"/>
    <w:qFormat/>
    <w:rsid w:val="001436C2"/>
    <w:pPr>
      <w:ind w:firstLine="224"/>
    </w:pPr>
  </w:style>
  <w:style w:type="paragraph" w:customStyle="1" w:styleId="SoSRubrik5">
    <w:name w:val="SoS_Rubrik 5"/>
    <w:basedOn w:val="SoSRubrik4"/>
    <w:next w:val="SoSBrdtext"/>
    <w:rsid w:val="00667DFC"/>
    <w:pPr>
      <w:spacing w:after="0"/>
    </w:pPr>
    <w:rPr>
      <w:i/>
    </w:rPr>
  </w:style>
  <w:style w:type="paragraph" w:styleId="Innehllsfrteckningsrubrik">
    <w:name w:val="TOC Heading"/>
    <w:basedOn w:val="Rubrik1"/>
    <w:next w:val="Normal"/>
    <w:uiPriority w:val="39"/>
    <w:semiHidden/>
    <w:qFormat/>
    <w:rsid w:val="00DE36C3"/>
    <w:pPr>
      <w:keepLines/>
      <w:suppressAutoHyphens w:val="0"/>
      <w:spacing w:before="480" w:after="0" w:line="276" w:lineRule="auto"/>
      <w:outlineLvl w:val="9"/>
    </w:pPr>
    <w:rPr>
      <w:rFonts w:ascii="Times New Roman" w:eastAsiaTheme="majorEastAsia" w:hAnsi="Times New Roman" w:cstheme="majorBidi"/>
      <w:bCs/>
      <w:color w:val="000000" w:themeColor="text1"/>
      <w:kern w:val="0"/>
      <w:szCs w:val="28"/>
    </w:rPr>
  </w:style>
  <w:style w:type="paragraph" w:styleId="Innehll1">
    <w:name w:val="toc 1"/>
    <w:basedOn w:val="Normal"/>
    <w:next w:val="Normal"/>
    <w:autoRedefine/>
    <w:uiPriority w:val="39"/>
    <w:semiHidden/>
    <w:rsid w:val="007C4063"/>
    <w:pPr>
      <w:spacing w:after="100"/>
    </w:pPr>
    <w:rPr>
      <w:color w:val="000000" w:themeColor="text1"/>
    </w:rPr>
  </w:style>
  <w:style w:type="paragraph" w:styleId="Innehll2">
    <w:name w:val="toc 2"/>
    <w:basedOn w:val="Normal"/>
    <w:next w:val="Normal"/>
    <w:autoRedefine/>
    <w:uiPriority w:val="39"/>
    <w:semiHidden/>
    <w:rsid w:val="00DE36C3"/>
    <w:pPr>
      <w:spacing w:after="100"/>
      <w:ind w:left="220"/>
    </w:pPr>
    <w:rPr>
      <w:color w:val="000000" w:themeColor="text1"/>
    </w:rPr>
  </w:style>
  <w:style w:type="paragraph" w:styleId="Innehll3">
    <w:name w:val="toc 3"/>
    <w:basedOn w:val="Normal"/>
    <w:next w:val="Normal"/>
    <w:autoRedefine/>
    <w:uiPriority w:val="39"/>
    <w:semiHidden/>
    <w:rsid w:val="00DE36C3"/>
    <w:pPr>
      <w:spacing w:after="100"/>
      <w:ind w:left="440"/>
    </w:pPr>
    <w:rPr>
      <w:color w:val="000000" w:themeColor="text1"/>
    </w:rPr>
  </w:style>
  <w:style w:type="paragraph" w:styleId="Fotnotstext">
    <w:name w:val="footnote text"/>
    <w:basedOn w:val="Normal"/>
    <w:link w:val="FotnotstextChar"/>
    <w:uiPriority w:val="99"/>
    <w:semiHidden/>
    <w:rsid w:val="00DE36C3"/>
    <w:pPr>
      <w:spacing w:line="200" w:lineRule="exact"/>
    </w:pPr>
    <w:rPr>
      <w:color w:val="000000" w:themeColor="text1"/>
      <w:sz w:val="15"/>
    </w:rPr>
  </w:style>
  <w:style w:type="character" w:customStyle="1" w:styleId="FotnotstextChar">
    <w:name w:val="Fotnotstext Char"/>
    <w:basedOn w:val="Standardstycketeckensnitt"/>
    <w:link w:val="Fotnotstext"/>
    <w:uiPriority w:val="99"/>
    <w:semiHidden/>
    <w:rsid w:val="00BC0D70"/>
    <w:rPr>
      <w:color w:val="000000" w:themeColor="text1"/>
      <w:sz w:val="15"/>
    </w:rPr>
  </w:style>
  <w:style w:type="character" w:styleId="Fotnotsreferens">
    <w:name w:val="footnote reference"/>
    <w:basedOn w:val="Standardstycketeckensnitt"/>
    <w:uiPriority w:val="99"/>
    <w:semiHidden/>
    <w:rsid w:val="00D67612"/>
    <w:rPr>
      <w:vertAlign w:val="superscript"/>
    </w:rPr>
  </w:style>
  <w:style w:type="paragraph" w:customStyle="1" w:styleId="SoSTextrutatext">
    <w:name w:val="SoS_Textruta text"/>
    <w:basedOn w:val="SoSBrdtext"/>
    <w:uiPriority w:val="2"/>
    <w:rsid w:val="002B4BF6"/>
  </w:style>
  <w:style w:type="character" w:customStyle="1" w:styleId="SoSTextrutarubrik">
    <w:name w:val="SoS_Textruta rubrik"/>
    <w:uiPriority w:val="2"/>
    <w:rsid w:val="002553AF"/>
    <w:rPr>
      <w:rFonts w:ascii="Times New Roman" w:hAnsi="Times New Roman"/>
      <w:b/>
      <w:bCs/>
      <w:sz w:val="24"/>
    </w:rPr>
  </w:style>
  <w:style w:type="paragraph" w:customStyle="1" w:styleId="SoSDiarienummer">
    <w:name w:val="SoS_Diarienummer"/>
    <w:basedOn w:val="SoSDatum"/>
    <w:uiPriority w:val="7"/>
    <w:rsid w:val="007676B3"/>
  </w:style>
  <w:style w:type="character" w:styleId="Kommentarsreferens">
    <w:name w:val="annotation reference"/>
    <w:basedOn w:val="Standardstycketeckensnitt"/>
    <w:uiPriority w:val="99"/>
    <w:semiHidden/>
    <w:rsid w:val="00512BD5"/>
    <w:rPr>
      <w:sz w:val="16"/>
      <w:szCs w:val="16"/>
    </w:rPr>
  </w:style>
  <w:style w:type="table" w:customStyle="1" w:styleId="SoStabell">
    <w:name w:val="SoS_tabell"/>
    <w:basedOn w:val="Normaltabell"/>
    <w:uiPriority w:val="99"/>
    <w:rsid w:val="009533AE"/>
    <w:rPr>
      <w:rFonts w:ascii="Century Gothic" w:hAnsi="Century Gothic"/>
      <w:sz w:val="18"/>
    </w:rPr>
    <w:tblPr>
      <w:tblBorders>
        <w:bottom w:val="single" w:sz="12" w:space="0" w:color="857363" w:themeColor="accent5"/>
      </w:tblBorders>
    </w:tblPr>
    <w:tcPr>
      <w:shd w:val="clear" w:color="auto" w:fill="auto"/>
    </w:tcPr>
    <w:tblStylePr w:type="firstRow">
      <w:pPr>
        <w:wordWrap/>
        <w:spacing w:beforeLines="0" w:before="0" w:beforeAutospacing="0" w:afterLines="0" w:after="0" w:afterAutospacing="0"/>
      </w:pPr>
      <w:rPr>
        <w:rFonts w:ascii="Century Gothic" w:hAnsi="Century Gothic"/>
        <w:b/>
        <w:sz w:val="16"/>
      </w:rPr>
      <w:tblPr/>
      <w:tcPr>
        <w:tcBorders>
          <w:top w:val="single" w:sz="12" w:space="0" w:color="857363" w:themeColor="accent5"/>
          <w:left w:val="nil"/>
          <w:bottom w:val="single" w:sz="6" w:space="0" w:color="857363" w:themeColor="accent5"/>
          <w:right w:val="nil"/>
          <w:insideH w:val="nil"/>
          <w:insideV w:val="nil"/>
          <w:tl2br w:val="nil"/>
          <w:tr2bl w:val="nil"/>
        </w:tcBorders>
        <w:shd w:val="clear" w:color="auto" w:fill="DAD7CB" w:themeFill="background1"/>
        <w:vAlign w:val="bottom"/>
      </w:tcPr>
    </w:tblStylePr>
    <w:tblStylePr w:type="lastRow">
      <w:rPr>
        <w:rFonts w:ascii="Century Gothic" w:hAnsi="Century Gothic"/>
        <w:sz w:val="16"/>
      </w:rPr>
      <w:tblPr/>
      <w:tcPr>
        <w:tcBorders>
          <w:top w:val="nil"/>
          <w:left w:val="nil"/>
          <w:bottom w:val="single" w:sz="12" w:space="0" w:color="857363" w:themeColor="accent5"/>
          <w:right w:val="nil"/>
          <w:insideH w:val="nil"/>
          <w:insideV w:val="nil"/>
          <w:tl2br w:val="nil"/>
          <w:tr2bl w:val="nil"/>
        </w:tcBorders>
        <w:shd w:val="clear" w:color="auto" w:fill="auto"/>
      </w:tcPr>
    </w:tblStylePr>
  </w:style>
  <w:style w:type="paragraph" w:customStyle="1" w:styleId="SoSTabellrubrik">
    <w:name w:val="SoS_Tabellrubrik"/>
    <w:uiPriority w:val="3"/>
    <w:rsid w:val="00D8749A"/>
    <w:pPr>
      <w:spacing w:before="120" w:after="80"/>
    </w:pPr>
    <w:rPr>
      <w:rFonts w:asciiTheme="majorHAnsi" w:hAnsiTheme="majorHAnsi"/>
      <w:b/>
      <w:bCs/>
      <w:color w:val="000000" w:themeColor="text1"/>
      <w:lang w:val="en-US"/>
    </w:rPr>
  </w:style>
  <w:style w:type="paragraph" w:customStyle="1" w:styleId="SoSTabellunderrubrik">
    <w:name w:val="SoS_Tabellunderrubrik"/>
    <w:uiPriority w:val="3"/>
    <w:rsid w:val="001436C2"/>
    <w:pPr>
      <w:spacing w:after="120"/>
    </w:pPr>
    <w:rPr>
      <w:rFonts w:asciiTheme="majorHAnsi" w:hAnsiTheme="majorHAnsi"/>
      <w:color w:val="000000" w:themeColor="text1"/>
      <w:sz w:val="16"/>
      <w:szCs w:val="16"/>
      <w:lang w:val="en-US"/>
    </w:rPr>
  </w:style>
  <w:style w:type="paragraph" w:customStyle="1" w:styleId="SoSTabelltext">
    <w:name w:val="SoS_Tabell text"/>
    <w:rsid w:val="001436C2"/>
    <w:pPr>
      <w:spacing w:before="20" w:after="20"/>
    </w:pPr>
    <w:rPr>
      <w:rFonts w:ascii="Century Gothic" w:hAnsi="Century Gothic"/>
      <w:color w:val="000000" w:themeColor="text1"/>
      <w:sz w:val="16"/>
      <w:szCs w:val="16"/>
    </w:rPr>
  </w:style>
  <w:style w:type="paragraph" w:customStyle="1" w:styleId="SoSTabellhuvud">
    <w:name w:val="SoS_Tabellhuvud"/>
    <w:basedOn w:val="SoSTabellrubrik"/>
    <w:uiPriority w:val="4"/>
    <w:rsid w:val="001436C2"/>
    <w:pPr>
      <w:spacing w:before="40" w:after="40"/>
    </w:pPr>
    <w:rPr>
      <w:b w:val="0"/>
      <w:sz w:val="16"/>
    </w:rPr>
  </w:style>
  <w:style w:type="paragraph" w:customStyle="1" w:styleId="SoSTabellklla">
    <w:name w:val="SoS_Tabell källa"/>
    <w:basedOn w:val="SoSTabellunderrubrik"/>
    <w:uiPriority w:val="6"/>
    <w:rsid w:val="001436C2"/>
    <w:pPr>
      <w:spacing w:before="60"/>
    </w:pPr>
    <w:rPr>
      <w:sz w:val="14"/>
      <w:lang w:val="sv-SE"/>
    </w:rPr>
  </w:style>
  <w:style w:type="table" w:customStyle="1" w:styleId="SoSTabellKantlinjer">
    <w:name w:val="SoS_Tabell_Kantlinjer"/>
    <w:basedOn w:val="Normaltabell"/>
    <w:uiPriority w:val="99"/>
    <w:rsid w:val="00B74417"/>
    <w:tblPr>
      <w:tblBorders>
        <w:bottom w:val="single" w:sz="12" w:space="0" w:color="857363" w:themeColor="accent5"/>
        <w:insideH w:val="single" w:sz="6" w:space="0" w:color="DAD7CB" w:themeColor="background1"/>
        <w:insideV w:val="single" w:sz="6" w:space="0" w:color="DAD7CB" w:themeColor="background1"/>
      </w:tblBorders>
    </w:tblPr>
    <w:tcPr>
      <w:vAlign w:val="center"/>
    </w:tcPr>
    <w:tblStylePr w:type="firstRow">
      <w:rPr>
        <w:rFonts w:asciiTheme="majorHAnsi" w:hAnsiTheme="majorHAnsi"/>
        <w:b/>
        <w:sz w:val="20"/>
      </w:rPr>
      <w:tblPr/>
      <w:tcPr>
        <w:tcBorders>
          <w:top w:val="single" w:sz="12" w:space="0" w:color="857363" w:themeColor="accent5"/>
          <w:left w:val="nil"/>
          <w:bottom w:val="single" w:sz="6" w:space="0" w:color="857363" w:themeColor="accent5"/>
          <w:right w:val="nil"/>
          <w:insideH w:val="nil"/>
          <w:insideV w:val="single" w:sz="6" w:space="0" w:color="FFFFFF"/>
          <w:tl2br w:val="nil"/>
          <w:tr2bl w:val="nil"/>
        </w:tcBorders>
        <w:shd w:val="clear" w:color="auto" w:fill="DAD7CB" w:themeFill="background1"/>
      </w:tcPr>
    </w:tblStylePr>
    <w:tblStylePr w:type="lastRow">
      <w:pPr>
        <w:jc w:val="left"/>
      </w:pPr>
      <w:tblPr/>
      <w:tcPr>
        <w:tcBorders>
          <w:bottom w:val="single" w:sz="6" w:space="0" w:color="DAD7CB" w:themeColor="background1"/>
        </w:tcBorders>
      </w:tcPr>
    </w:tblStylePr>
  </w:style>
  <w:style w:type="paragraph" w:customStyle="1" w:styleId="SoSPunktlista">
    <w:name w:val="SoS_Punktlista"/>
    <w:basedOn w:val="Normal"/>
    <w:uiPriority w:val="1"/>
    <w:rsid w:val="00E1688F"/>
    <w:pPr>
      <w:numPr>
        <w:numId w:val="14"/>
      </w:numPr>
      <w:spacing w:before="160" w:after="160" w:line="276" w:lineRule="atLeast"/>
      <w:ind w:left="227" w:hanging="227"/>
      <w:contextualSpacing/>
    </w:pPr>
    <w:rPr>
      <w:color w:val="auto"/>
      <w:sz w:val="23"/>
    </w:rPr>
  </w:style>
  <w:style w:type="character" w:customStyle="1" w:styleId="SoSNumreradlistaChar">
    <w:name w:val="SoS_Numrerad lista Char"/>
    <w:basedOn w:val="Standardstycketeckensnitt"/>
    <w:link w:val="SoSNumreradlista"/>
    <w:uiPriority w:val="2"/>
    <w:rsid w:val="00E1688F"/>
    <w:rPr>
      <w:color w:val="000000" w:themeColor="text1"/>
      <w:sz w:val="23"/>
    </w:rPr>
  </w:style>
  <w:style w:type="paragraph" w:styleId="Liststycke">
    <w:name w:val="List Paragraph"/>
    <w:basedOn w:val="Normal"/>
    <w:uiPriority w:val="34"/>
    <w:qFormat/>
    <w:rsid w:val="00A769A7"/>
    <w:pPr>
      <w:spacing w:after="160" w:line="259" w:lineRule="auto"/>
      <w:ind w:left="720"/>
      <w:contextualSpacing/>
    </w:pPr>
    <w:rPr>
      <w:rFonts w:asciiTheme="minorHAnsi" w:eastAsiaTheme="minorHAnsi" w:hAnsiTheme="minorHAnsi" w:cstheme="minorBidi"/>
      <w:color w:val="auto"/>
      <w:szCs w:val="22"/>
      <w:lang w:eastAsia="en-US"/>
    </w:rPr>
  </w:style>
  <w:style w:type="paragraph" w:customStyle="1" w:styleId="Default">
    <w:name w:val="Default"/>
    <w:rsid w:val="00A769A7"/>
    <w:pPr>
      <w:autoSpaceDE w:val="0"/>
      <w:autoSpaceDN w:val="0"/>
      <w:adjustRightInd w:val="0"/>
    </w:pPr>
    <w:rPr>
      <w:color w:val="000000"/>
      <w:sz w:val="24"/>
      <w:szCs w:val="24"/>
      <w:lang w:eastAsia="en-US"/>
    </w:rPr>
  </w:style>
  <w:style w:type="paragraph" w:customStyle="1" w:styleId="Brdtext">
    <w:name w:val="_Brödtext"/>
    <w:basedOn w:val="Normal"/>
    <w:link w:val="BrdtextChar"/>
    <w:qFormat/>
    <w:rsid w:val="00A769A7"/>
    <w:pPr>
      <w:autoSpaceDE w:val="0"/>
      <w:autoSpaceDN w:val="0"/>
      <w:adjustRightInd w:val="0"/>
      <w:spacing w:line="240" w:lineRule="auto"/>
      <w:textAlignment w:val="center"/>
    </w:pPr>
    <w:rPr>
      <w:color w:val="000000"/>
      <w:sz w:val="24"/>
    </w:rPr>
  </w:style>
  <w:style w:type="character" w:customStyle="1" w:styleId="BrdtextChar">
    <w:name w:val="_Brödtext Char"/>
    <w:basedOn w:val="Standardstycketeckensnitt"/>
    <w:link w:val="Brdtext"/>
    <w:rsid w:val="00A769A7"/>
    <w:rPr>
      <w:color w:val="000000"/>
      <w:sz w:val="24"/>
    </w:rPr>
  </w:style>
  <w:style w:type="paragraph" w:styleId="Kommentarer">
    <w:name w:val="annotation text"/>
    <w:basedOn w:val="Normal"/>
    <w:link w:val="KommentarerChar"/>
    <w:uiPriority w:val="99"/>
    <w:semiHidden/>
    <w:unhideWhenUsed/>
    <w:rsid w:val="00FE196F"/>
    <w:pPr>
      <w:spacing w:line="240" w:lineRule="auto"/>
    </w:pPr>
    <w:rPr>
      <w:sz w:val="20"/>
    </w:rPr>
  </w:style>
  <w:style w:type="character" w:customStyle="1" w:styleId="KommentarerChar">
    <w:name w:val="Kommentarer Char"/>
    <w:basedOn w:val="Standardstycketeckensnitt"/>
    <w:link w:val="Kommentarer"/>
    <w:uiPriority w:val="99"/>
    <w:semiHidden/>
    <w:rsid w:val="00FE196F"/>
    <w:rPr>
      <w:color w:val="452325" w:themeColor="accent6"/>
    </w:rPr>
  </w:style>
  <w:style w:type="paragraph" w:styleId="Kommentarsmne">
    <w:name w:val="annotation subject"/>
    <w:basedOn w:val="Kommentarer"/>
    <w:next w:val="Kommentarer"/>
    <w:link w:val="KommentarsmneChar"/>
    <w:uiPriority w:val="99"/>
    <w:semiHidden/>
    <w:unhideWhenUsed/>
    <w:rsid w:val="00FE196F"/>
    <w:rPr>
      <w:b/>
      <w:bCs/>
    </w:rPr>
  </w:style>
  <w:style w:type="character" w:customStyle="1" w:styleId="KommentarsmneChar">
    <w:name w:val="Kommentarsämne Char"/>
    <w:basedOn w:val="KommentarerChar"/>
    <w:link w:val="Kommentarsmne"/>
    <w:uiPriority w:val="99"/>
    <w:semiHidden/>
    <w:rsid w:val="00FE196F"/>
    <w:rPr>
      <w:b/>
      <w:bCs/>
      <w:color w:val="452325" w:themeColor="accent6"/>
    </w:rPr>
  </w:style>
  <w:style w:type="paragraph" w:styleId="Revision">
    <w:name w:val="Revision"/>
    <w:hidden/>
    <w:uiPriority w:val="99"/>
    <w:semiHidden/>
    <w:rsid w:val="00FE196F"/>
    <w:rPr>
      <w:color w:val="452325" w:themeColor="accent6"/>
      <w:sz w:val="22"/>
    </w:rPr>
  </w:style>
  <w:style w:type="paragraph" w:customStyle="1" w:styleId="HSLF-FS-Brdtext">
    <w:name w:val="HSLF-FS-Brödtext"/>
    <w:basedOn w:val="Normal"/>
    <w:next w:val="Normal"/>
    <w:uiPriority w:val="6"/>
    <w:qFormat/>
    <w:rsid w:val="000D0EB7"/>
    <w:pPr>
      <w:spacing w:line="250" w:lineRule="exact"/>
      <w:jc w:val="both"/>
    </w:pPr>
    <w:rPr>
      <w:color w:val="auto"/>
      <w:sz w:val="21"/>
    </w:rPr>
  </w:style>
  <w:style w:type="paragraph" w:customStyle="1" w:styleId="Pa2">
    <w:name w:val="Pa2"/>
    <w:basedOn w:val="Default"/>
    <w:next w:val="Default"/>
    <w:uiPriority w:val="99"/>
    <w:rsid w:val="00852E81"/>
    <w:pPr>
      <w:spacing w:line="191" w:lineRule="atLeast"/>
    </w:pPr>
    <w:rPr>
      <w:rFonts w:ascii="Georgia" w:hAnsi="Georgia"/>
      <w:color w:val="auto"/>
      <w:lang w:eastAsia="sv-SE"/>
    </w:rPr>
  </w:style>
  <w:style w:type="character" w:styleId="Olstomnmnande">
    <w:name w:val="Unresolved Mention"/>
    <w:basedOn w:val="Standardstycketeckensnitt"/>
    <w:uiPriority w:val="99"/>
    <w:semiHidden/>
    <w:unhideWhenUsed/>
    <w:rsid w:val="00080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252255">
      <w:bodyDiv w:val="1"/>
      <w:marLeft w:val="0"/>
      <w:marRight w:val="0"/>
      <w:marTop w:val="0"/>
      <w:marBottom w:val="0"/>
      <w:divBdr>
        <w:top w:val="none" w:sz="0" w:space="0" w:color="auto"/>
        <w:left w:val="none" w:sz="0" w:space="0" w:color="auto"/>
        <w:bottom w:val="none" w:sz="0" w:space="0" w:color="auto"/>
        <w:right w:val="none" w:sz="0" w:space="0" w:color="auto"/>
      </w:divBdr>
    </w:div>
    <w:div w:id="643311876">
      <w:bodyDiv w:val="1"/>
      <w:marLeft w:val="0"/>
      <w:marRight w:val="0"/>
      <w:marTop w:val="0"/>
      <w:marBottom w:val="0"/>
      <w:divBdr>
        <w:top w:val="none" w:sz="0" w:space="0" w:color="auto"/>
        <w:left w:val="none" w:sz="0" w:space="0" w:color="auto"/>
        <w:bottom w:val="none" w:sz="0" w:space="0" w:color="auto"/>
        <w:right w:val="none" w:sz="0" w:space="0" w:color="auto"/>
      </w:divBdr>
    </w:div>
    <w:div w:id="824928793">
      <w:bodyDiv w:val="1"/>
      <w:marLeft w:val="0"/>
      <w:marRight w:val="0"/>
      <w:marTop w:val="0"/>
      <w:marBottom w:val="0"/>
      <w:divBdr>
        <w:top w:val="none" w:sz="0" w:space="0" w:color="auto"/>
        <w:left w:val="none" w:sz="0" w:space="0" w:color="auto"/>
        <w:bottom w:val="none" w:sz="0" w:space="0" w:color="auto"/>
        <w:right w:val="none" w:sz="0" w:space="0" w:color="auto"/>
      </w:divBdr>
    </w:div>
    <w:div w:id="1026172062">
      <w:bodyDiv w:val="1"/>
      <w:marLeft w:val="0"/>
      <w:marRight w:val="0"/>
      <w:marTop w:val="0"/>
      <w:marBottom w:val="0"/>
      <w:divBdr>
        <w:top w:val="none" w:sz="0" w:space="0" w:color="auto"/>
        <w:left w:val="none" w:sz="0" w:space="0" w:color="auto"/>
        <w:bottom w:val="none" w:sz="0" w:space="0" w:color="auto"/>
        <w:right w:val="none" w:sz="0" w:space="0" w:color="auto"/>
      </w:divBdr>
    </w:div>
    <w:div w:id="1240211308">
      <w:bodyDiv w:val="1"/>
      <w:marLeft w:val="0"/>
      <w:marRight w:val="0"/>
      <w:marTop w:val="0"/>
      <w:marBottom w:val="0"/>
      <w:divBdr>
        <w:top w:val="none" w:sz="0" w:space="0" w:color="auto"/>
        <w:left w:val="none" w:sz="0" w:space="0" w:color="auto"/>
        <w:bottom w:val="none" w:sz="0" w:space="0" w:color="auto"/>
        <w:right w:val="none" w:sz="0" w:space="0" w:color="auto"/>
      </w:divBdr>
    </w:div>
    <w:div w:id="1427921366">
      <w:bodyDiv w:val="1"/>
      <w:marLeft w:val="0"/>
      <w:marRight w:val="0"/>
      <w:marTop w:val="0"/>
      <w:marBottom w:val="0"/>
      <w:divBdr>
        <w:top w:val="none" w:sz="0" w:space="0" w:color="auto"/>
        <w:left w:val="none" w:sz="0" w:space="0" w:color="auto"/>
        <w:bottom w:val="none" w:sz="0" w:space="0" w:color="auto"/>
        <w:right w:val="none" w:sz="0" w:space="0" w:color="auto"/>
      </w:divBdr>
    </w:div>
    <w:div w:id="1569681929">
      <w:bodyDiv w:val="1"/>
      <w:marLeft w:val="0"/>
      <w:marRight w:val="0"/>
      <w:marTop w:val="0"/>
      <w:marBottom w:val="0"/>
      <w:divBdr>
        <w:top w:val="none" w:sz="0" w:space="0" w:color="auto"/>
        <w:left w:val="none" w:sz="0" w:space="0" w:color="auto"/>
        <w:bottom w:val="none" w:sz="0" w:space="0" w:color="auto"/>
        <w:right w:val="none" w:sz="0" w:space="0" w:color="auto"/>
      </w:divBdr>
    </w:div>
    <w:div w:id="1638224759">
      <w:bodyDiv w:val="1"/>
      <w:marLeft w:val="0"/>
      <w:marRight w:val="0"/>
      <w:marTop w:val="0"/>
      <w:marBottom w:val="0"/>
      <w:divBdr>
        <w:top w:val="none" w:sz="0" w:space="0" w:color="auto"/>
        <w:left w:val="none" w:sz="0" w:space="0" w:color="auto"/>
        <w:bottom w:val="none" w:sz="0" w:space="0" w:color="auto"/>
        <w:right w:val="none" w:sz="0" w:space="0" w:color="auto"/>
      </w:divBdr>
    </w:div>
    <w:div w:id="209685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li.paaso@socialstyrelsen.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oS%20Mallar\PM.dotm" TargetMode="External"/></Relationships>
</file>

<file path=word/theme/theme1.xml><?xml version="1.0" encoding="utf-8"?>
<a:theme xmlns:a="http://schemas.openxmlformats.org/drawingml/2006/main" name="SOC_Tema">
  <a:themeElements>
    <a:clrScheme name="Anpassat 3">
      <a:dk1>
        <a:sysClr val="windowText" lastClr="000000"/>
      </a:dk1>
      <a:lt1>
        <a:srgbClr val="DAD7CB"/>
      </a:lt1>
      <a:dk2>
        <a:srgbClr val="8D6E97"/>
      </a:dk2>
      <a:lt2>
        <a:srgbClr val="4A7729"/>
      </a:lt2>
      <a:accent1>
        <a:srgbClr val="A6BCC6"/>
      </a:accent1>
      <a:accent2>
        <a:srgbClr val="7D9AAA"/>
      </a:accent2>
      <a:accent3>
        <a:srgbClr val="D3BF96"/>
      </a:accent3>
      <a:accent4>
        <a:srgbClr val="002B45"/>
      </a:accent4>
      <a:accent5>
        <a:srgbClr val="857363"/>
      </a:accent5>
      <a:accent6>
        <a:srgbClr val="452325"/>
      </a:accent6>
      <a:hlink>
        <a:srgbClr val="000000"/>
      </a:hlink>
      <a:folHlink>
        <a:srgbClr val="000000"/>
      </a:folHlink>
    </a:clrScheme>
    <a:fontScheme name="Anpassat 44">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lumMod val="60000"/>
            <a:lumOff val="40000"/>
          </a:schemeClr>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custClrLst>
    <a:custClr name="Beige Diagrambakgrund">
      <a:srgbClr val="DAD7CB"/>
    </a:custClr>
    <a:custClr name="Mörkbeige">
      <a:srgbClr val="D3BF96"/>
    </a:custClr>
    <a:custClr name="Ljusbrun">
      <a:srgbClr val="AAA38E"/>
    </a:custClr>
    <a:custClr name="Brun">
      <a:srgbClr val="857363"/>
    </a:custClr>
    <a:custClr name="Mellanbrun">
      <a:srgbClr val="6D5047"/>
    </a:custClr>
    <a:custClr name="Mörkbrun">
      <a:srgbClr val="452325"/>
    </a:custClr>
    <a:custClr name="Vit">
      <a:srgbClr val="FFFFFF"/>
    </a:custClr>
    <a:custClr name="Vit">
      <a:srgbClr val="FFFFFF"/>
    </a:custClr>
    <a:custClr name="Svart">
      <a:srgbClr val="000000"/>
    </a:custClr>
    <a:custClr name="Vit">
      <a:srgbClr val="FFFFFF"/>
    </a:custClr>
    <a:custClr name="Ljusblå">
      <a:srgbClr val="E0E6E6"/>
    </a:custClr>
    <a:custClr name="Isblå">
      <a:srgbClr val="A6BCC6"/>
    </a:custClr>
    <a:custClr name="Ljus blågrå">
      <a:srgbClr val="A5ACAF"/>
    </a:custClr>
    <a:custClr name="Blågrå">
      <a:srgbClr val="7D9AAA"/>
    </a:custClr>
    <a:custClr name="Mörk blågrå">
      <a:srgbClr val="51626F"/>
    </a:custClr>
    <a:custClr name="Mörkblå">
      <a:srgbClr val="002B45"/>
    </a:custClr>
    <a:custClr name="Vit">
      <a:srgbClr val="FFFFFF"/>
    </a:custClr>
    <a:custClr name="Diagramfärg Riket Huvudfärg">
      <a:srgbClr val="ED8B00"/>
    </a:custClr>
    <a:custClr name="Blå">
      <a:srgbClr val="3DB7E4"/>
    </a:custClr>
    <a:custClr name="Grön">
      <a:srgbClr val="3F9C35"/>
    </a:custClr>
    <a:custClr name="Diagramfärg Riket 251/230/204">
      <a:srgbClr val="FBE6CC"/>
    </a:custClr>
    <a:custClr name="Diagramfärg Riket 246/205/153">
      <a:srgbClr val="F6CD99"/>
    </a:custClr>
    <a:custClr name="Diagramfärg Riket 242/181/102">
      <a:srgbClr val="F2B566"/>
    </a:custClr>
    <a:custClr name="Diagramfärg Riket Huvudfärg">
      <a:srgbClr val="ED8B00"/>
    </a:custClr>
    <a:custClr name="Diagramfärg Riket 175/98/10">
      <a:srgbClr val="AF620A"/>
    </a:custClr>
    <a:custClr name="Diagramfärg Riket 117/66/0">
      <a:srgbClr val="754200"/>
    </a:custClr>
    <a:custClr name="Vit">
      <a:srgbClr val="FFFFFF"/>
    </a:custClr>
    <a:custClr name="Diagramfärg Riket Huvudfärg">
      <a:srgbClr val="ED8B00"/>
    </a:custClr>
    <a:custClr name="Röd">
      <a:srgbClr val="BA0C2F"/>
    </a:custClr>
    <a:custClr name="Beige Diagrambakgrund">
      <a:srgbClr val="DAD7CB"/>
    </a:custClr>
    <a:custClr name="Diagramfärg män 218/237/203">
      <a:srgbClr val="DAEDCB"/>
    </a:custClr>
    <a:custClr name="Diagramfärg män 180/219/151">
      <a:srgbClr val="B4DB97"/>
    </a:custClr>
    <a:custClr name="Diagramfärg män 142/201/99">
      <a:srgbClr val="8EC963"/>
    </a:custClr>
    <a:custClr name="Diagramfärg män Huvudfärg">
      <a:srgbClr val="4A7729"/>
    </a:custClr>
    <a:custClr name="Diagramfärg män 55/88/31">
      <a:srgbClr val="3B581F"/>
    </a:custClr>
    <a:custClr name="Diagramfärg män 36/58/20">
      <a:srgbClr val="243A14"/>
    </a:custClr>
    <a:custClr name="Vit">
      <a:srgbClr val="FFFFFF"/>
    </a:custClr>
    <a:custClr name="Diagramfärg män Huvudfärg">
      <a:srgbClr val="4A7729"/>
    </a:custClr>
    <a:custClr name="Vit">
      <a:srgbClr val="FFFFFF"/>
    </a:custClr>
    <a:custClr name="Vit">
      <a:srgbClr val="FFFFFF"/>
    </a:custClr>
    <a:custClr name="Diagramfärg kvinnor 232/225/234">
      <a:srgbClr val="E8E1EA"/>
    </a:custClr>
    <a:custClr name="Diagramfärg kvinnor 209/197/214">
      <a:srgbClr val="D1C5D6"/>
    </a:custClr>
    <a:custClr name="Diagramfärg kvinnor 186/167/192">
      <a:srgbClr val="BAA7C0"/>
    </a:custClr>
    <a:custClr name="Diagramfärg kvinnor Huvudfärg">
      <a:srgbClr val="8D6E97"/>
    </a:custClr>
    <a:custClr name="Diagramfärg kvinnor 106/82/114">
      <a:srgbClr val="6A5272"/>
    </a:custClr>
    <a:custClr name="Diagramfärg kvinnor 70/54/75">
      <a:srgbClr val="46364B"/>
    </a:custClr>
    <a:custClr name="Vit">
      <a:srgbClr val="FFFFFF"/>
    </a:custClr>
    <a:custClr name="Diagramfärg kvinnor">
      <a:srgbClr val="8D6E97"/>
    </a:custClr>
    <a:custClr name="Vit">
      <a:srgbClr val="FFFFFF"/>
    </a:custClr>
    <a:custClr name="Vit">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khkma</b:Tag>
    <b:SourceType>Book</b:SourceType>
    <b:Guid>{4A22FDD7-0EE9-4DDB-B35D-93ED0AE4E28E}</b:Guid>
    <b:Author>
      <b:Author>
        <b:NameList>
          <b:Person>
            <b:Last>khkhakghkajhgjkah</b:Last>
          </b:Person>
        </b:NameList>
      </b:Author>
    </b:Author>
    <b:Title>kglkaj</b:Title>
    <b:Year>agma</b:Year>
    <b:City>a.kga</b:City>
    <b:Publisher>a.gkjlakglka</b:Publisher>
    <b:RefOrder>1</b:RefOrder>
  </b:Source>
</b:Sources>
</file>

<file path=customXml/itemProps1.xml><?xml version="1.0" encoding="utf-8"?>
<ds:datastoreItem xmlns:ds="http://schemas.openxmlformats.org/officeDocument/2006/customXml" ds:itemID="{60B430B2-2D4F-4D4F-B74A-4F9C7E63D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Template>
  <TotalTime>5</TotalTime>
  <Pages>6</Pages>
  <Words>1935</Words>
  <Characters>11679</Characters>
  <Application>Microsoft Office Word</Application>
  <DocSecurity>0</DocSecurity>
  <Lines>97</Lines>
  <Paragraphs>27</Paragraphs>
  <ScaleCrop>false</ScaleCrop>
  <HeadingPairs>
    <vt:vector size="2" baseType="variant">
      <vt:variant>
        <vt:lpstr>Rubrik</vt:lpstr>
      </vt:variant>
      <vt:variant>
        <vt:i4>1</vt:i4>
      </vt:variant>
    </vt:vector>
  </HeadingPairs>
  <TitlesOfParts>
    <vt:vector size="1" baseType="lpstr">
      <vt:lpstr/>
    </vt:vector>
  </TitlesOfParts>
  <Company>Socialstyrelsen</Company>
  <LinksUpToDate>false</LinksUpToDate>
  <CharactersWithSpaces>13587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Damell, Camilla</dc:creator>
  <cp:lastModifiedBy>Paaso, Lilli</cp:lastModifiedBy>
  <cp:revision>16</cp:revision>
  <cp:lastPrinted>2020-08-18T07:57:00Z</cp:lastPrinted>
  <dcterms:created xsi:type="dcterms:W3CDTF">2023-04-04T12:21:00Z</dcterms:created>
  <dcterms:modified xsi:type="dcterms:W3CDTF">2023-04-04T12:58:00Z</dcterms:modified>
</cp:coreProperties>
</file>