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3280" w14:textId="404DED16" w:rsidR="00086E61" w:rsidRDefault="00086E61">
      <w:r>
        <w:rPr>
          <w:noProof/>
        </w:rPr>
        <w:drawing>
          <wp:inline distT="0" distB="0" distL="0" distR="0" wp14:anchorId="4B00A4AE" wp14:editId="61704B1F">
            <wp:extent cx="769620" cy="84724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718" cy="852856"/>
                    </a:xfrm>
                    <a:prstGeom prst="rect">
                      <a:avLst/>
                    </a:prstGeom>
                    <a:noFill/>
                    <a:ln>
                      <a:noFill/>
                    </a:ln>
                  </pic:spPr>
                </pic:pic>
              </a:graphicData>
            </a:graphic>
          </wp:inline>
        </w:drawing>
      </w:r>
    </w:p>
    <w:p w14:paraId="3A24E0CE" w14:textId="77777777" w:rsidR="00086E61" w:rsidRDefault="00086E61"/>
    <w:p w14:paraId="71387C37" w14:textId="45C3EAD7" w:rsidR="000629B4" w:rsidRPr="00F67F3B" w:rsidRDefault="00086E61">
      <w:pPr>
        <w:rPr>
          <w:b/>
          <w:bCs/>
          <w:sz w:val="28"/>
          <w:szCs w:val="28"/>
        </w:rPr>
      </w:pPr>
      <w:r w:rsidRPr="00F67F3B">
        <w:rPr>
          <w:b/>
          <w:bCs/>
          <w:sz w:val="28"/>
          <w:szCs w:val="28"/>
        </w:rPr>
        <w:t xml:space="preserve">Remissvar från Föreningen för Klinisk Mikrobiologi avseende </w:t>
      </w:r>
      <w:r w:rsidR="00C173DA" w:rsidRPr="00C173DA">
        <w:rPr>
          <w:b/>
          <w:bCs/>
          <w:sz w:val="28"/>
          <w:szCs w:val="28"/>
        </w:rPr>
        <w:t>Socialstyrelsens föreskrifter och allmänna råd om biobanker</w:t>
      </w:r>
      <w:r w:rsidR="00993958">
        <w:rPr>
          <w:b/>
          <w:bCs/>
          <w:sz w:val="28"/>
          <w:szCs w:val="28"/>
        </w:rPr>
        <w:t xml:space="preserve"> (</w:t>
      </w:r>
      <w:r w:rsidR="00ED008C">
        <w:rPr>
          <w:b/>
          <w:bCs/>
          <w:sz w:val="28"/>
          <w:szCs w:val="28"/>
        </w:rPr>
        <w:t>D</w:t>
      </w:r>
      <w:r w:rsidR="00993958">
        <w:rPr>
          <w:b/>
          <w:bCs/>
          <w:sz w:val="28"/>
          <w:szCs w:val="28"/>
        </w:rPr>
        <w:t>nr 4.1-46225/2024)</w:t>
      </w:r>
    </w:p>
    <w:p w14:paraId="69E079CF" w14:textId="337D1255" w:rsidR="00086E61" w:rsidRDefault="00086E61"/>
    <w:p w14:paraId="315C86F8" w14:textId="7B9F0E30" w:rsidR="00F67F3B" w:rsidRDefault="00F67F3B" w:rsidP="00F67F3B">
      <w:r>
        <w:t xml:space="preserve">Föreningen för Klinisk Mikrobiologi </w:t>
      </w:r>
      <w:r w:rsidR="00080F13">
        <w:t xml:space="preserve">(FKM) </w:t>
      </w:r>
      <w:r>
        <w:t xml:space="preserve">har beretts tillfälle att komma med remissvar rörande </w:t>
      </w:r>
      <w:r w:rsidR="00C173DA" w:rsidRPr="00C173DA">
        <w:t>Socialstyrelsens föreskrifter och allmänna råd om biobanker</w:t>
      </w:r>
      <w:r>
        <w:t xml:space="preserve">. Remissvaret har tagits fram av föreningens </w:t>
      </w:r>
      <w:r w:rsidR="00C173DA">
        <w:t>styrelse i samarbete med referensgruppen för klinisk virologi.</w:t>
      </w:r>
    </w:p>
    <w:p w14:paraId="5555828B" w14:textId="0776499C" w:rsidR="008A0D2F" w:rsidRDefault="00F67F3B" w:rsidP="00F67F3B">
      <w:r>
        <w:t xml:space="preserve">Föreningen för Klinisk Mikrobiologi representerar anslutna läkare, mikrobiologer och molekylärbiologer som arbetar inom Klinisk Mikrobiologi i Sverige. Föreningen är en sektion inom Svenska Läkarsällskapet. </w:t>
      </w:r>
      <w:r w:rsidR="00AB6333">
        <w:t>Klinisk Mikrobiologi är dominerande verksamhet när det gäller biobankning av vätskeprov (blodprov, likvorprov mm) i Sverige.</w:t>
      </w:r>
    </w:p>
    <w:p w14:paraId="6F23918B" w14:textId="48309C50" w:rsidR="003D180D" w:rsidRPr="00112FC3" w:rsidRDefault="003D180D" w:rsidP="00F67F3B">
      <w:pPr>
        <w:rPr>
          <w:b/>
          <w:bCs/>
        </w:rPr>
      </w:pPr>
      <w:r w:rsidRPr="00112FC3">
        <w:rPr>
          <w:b/>
          <w:bCs/>
        </w:rPr>
        <w:t>Sammanfattning av synpunkter</w:t>
      </w:r>
    </w:p>
    <w:p w14:paraId="14D2684D" w14:textId="77777777" w:rsidR="00112FC3" w:rsidRPr="00112FC3" w:rsidRDefault="00112FC3" w:rsidP="00112FC3">
      <w:r w:rsidRPr="00112FC3">
        <w:t>Den överväldigande majoriteten av alla prov i biobank utgörs av prov tagna i sjukvården för patientens vård och behandling. Sjukvårdens laboratorier har väl utarbetade rutiner för analys, transport och biobankning av prov, liksom speciella IT-system utvecklade för spårbarhet av dessa processer, och laboratorierna är ackrediterade enligt ISO 15189. Det är olyckligt att föreskrifterna och råden inte utgår ifrån dessa processer och tydligare beskriver hur lagen skall tillämpas på dem. I allt för många stycken görs heller ingen tydlig skillnad mellan prov som tas för vård respektive forskning eller lämnas ut för vård respektive forskning, vilket skapar svårigheter att förstå hur regelverket ska tillämpas. FKM anser att föreskrifterna och råden bör revideras så att de ger bättre vägledning för sjukvårdens diagnostiska laboratorier och inte hindrar eller skapar osäkerhet för denna omfattande och redan välreglerade verksamhet.</w:t>
      </w:r>
    </w:p>
    <w:p w14:paraId="66F80DCD" w14:textId="2114BE64" w:rsidR="00112FC3" w:rsidRPr="00112FC3" w:rsidRDefault="00112FC3" w:rsidP="00112FC3">
      <w:pPr>
        <w:rPr>
          <w:b/>
          <w:bCs/>
        </w:rPr>
      </w:pPr>
      <w:r w:rsidRPr="00112FC3">
        <w:rPr>
          <w:b/>
          <w:bCs/>
        </w:rPr>
        <w:t>Detaljerade kommentarer och förslag</w:t>
      </w:r>
    </w:p>
    <w:p w14:paraId="1EDFADB0" w14:textId="2B5E6C8D" w:rsidR="00112FC3" w:rsidRPr="00112FC3" w:rsidRDefault="00112FC3" w:rsidP="00112FC3">
      <w:r w:rsidRPr="00112FC3">
        <w:t xml:space="preserve">FKM vill särskilt peka på följande </w:t>
      </w:r>
      <w:r w:rsidR="001550DC">
        <w:t>fyra</w:t>
      </w:r>
      <w:r w:rsidRPr="00112FC3">
        <w:t xml:space="preserve"> problemställningar där lagens tillämpning är otydlig för sjukvården</w:t>
      </w:r>
    </w:p>
    <w:p w14:paraId="220ED9F1" w14:textId="77777777" w:rsidR="00112FC3" w:rsidRPr="00112FC3" w:rsidRDefault="00112FC3" w:rsidP="00112FC3">
      <w:pPr>
        <w:rPr>
          <w:u w:val="single"/>
        </w:rPr>
      </w:pPr>
      <w:r w:rsidRPr="00112FC3">
        <w:rPr>
          <w:u w:val="single"/>
        </w:rPr>
        <w:t>1. Definitionen av vilka prov som omfattas av regelverket</w:t>
      </w:r>
    </w:p>
    <w:p w14:paraId="2ECBAD85" w14:textId="77777777" w:rsidR="00112FC3" w:rsidRPr="00112FC3" w:rsidRDefault="00112FC3" w:rsidP="00112FC3">
      <w:r w:rsidRPr="00112FC3">
        <w:t>Biobankslagen säger:</w:t>
      </w:r>
    </w:p>
    <w:p w14:paraId="56CC9F48" w14:textId="77777777" w:rsidR="00112FC3" w:rsidRPr="00112FC3" w:rsidRDefault="00112FC3" w:rsidP="00112FC3">
      <w:r w:rsidRPr="00112FC3">
        <w:t>4 §   Lagen ska endast tillämpas på ett prov som bevaras i mer än nio månader efter provtagningstillfället. Lagen ska dock tillämpas på provet även innan dess om</w:t>
      </w:r>
    </w:p>
    <w:p w14:paraId="03077071" w14:textId="77777777" w:rsidR="00112FC3" w:rsidRPr="00112FC3" w:rsidRDefault="00112FC3" w:rsidP="00112FC3">
      <w:r w:rsidRPr="00112FC3">
        <w:t xml:space="preserve">   1. avsikten är att bevara provet i mer än nio månader, eller</w:t>
      </w:r>
    </w:p>
    <w:p w14:paraId="4F714603" w14:textId="77777777" w:rsidR="00112FC3" w:rsidRPr="00112FC3" w:rsidRDefault="00112FC3" w:rsidP="00112FC3">
      <w:r w:rsidRPr="00112FC3">
        <w:t xml:space="preserve">   2. provet inte förstörs omedelbart efter att det har analyserats.</w:t>
      </w:r>
    </w:p>
    <w:p w14:paraId="4797CC50" w14:textId="77777777" w:rsidR="00112FC3" w:rsidRPr="00112FC3" w:rsidRDefault="00112FC3" w:rsidP="00112FC3">
      <w:pPr>
        <w:pStyle w:val="Default"/>
        <w:rPr>
          <w:color w:val="auto"/>
          <w:sz w:val="21"/>
          <w:szCs w:val="21"/>
        </w:rPr>
      </w:pPr>
      <w:r w:rsidRPr="00112FC3">
        <w:rPr>
          <w:i/>
          <w:iCs/>
          <w:color w:val="auto"/>
          <w:sz w:val="21"/>
          <w:szCs w:val="21"/>
        </w:rPr>
        <w:t xml:space="preserve">Allmänna råd </w:t>
      </w:r>
    </w:p>
    <w:p w14:paraId="25860722" w14:textId="77777777" w:rsidR="00112FC3" w:rsidRPr="00112FC3" w:rsidRDefault="00112FC3" w:rsidP="00112FC3">
      <w:pPr>
        <w:pStyle w:val="Default"/>
        <w:rPr>
          <w:i/>
          <w:iCs/>
          <w:color w:val="auto"/>
          <w:sz w:val="21"/>
          <w:szCs w:val="21"/>
        </w:rPr>
      </w:pPr>
      <w:r w:rsidRPr="00112FC3">
        <w:rPr>
          <w:i/>
          <w:iCs/>
          <w:color w:val="auto"/>
          <w:sz w:val="21"/>
          <w:szCs w:val="21"/>
        </w:rPr>
        <w:t xml:space="preserve">Ett prov bör anses ha förstörts omedelbart efter att det har analyserats om det har förstörts inom två dygn från den tidpunkt då ana-lysen slutförts. Analysen bör anses slutförd när </w:t>
      </w:r>
    </w:p>
    <w:p w14:paraId="21CC76AD" w14:textId="77777777" w:rsidR="00112FC3" w:rsidRPr="00112FC3" w:rsidRDefault="00112FC3" w:rsidP="00112FC3">
      <w:pPr>
        <w:pStyle w:val="Default"/>
        <w:spacing w:after="27"/>
        <w:rPr>
          <w:i/>
          <w:iCs/>
          <w:color w:val="auto"/>
          <w:sz w:val="21"/>
          <w:szCs w:val="21"/>
        </w:rPr>
      </w:pPr>
      <w:r w:rsidRPr="00112FC3">
        <w:rPr>
          <w:i/>
          <w:iCs/>
          <w:color w:val="auto"/>
          <w:sz w:val="21"/>
          <w:szCs w:val="21"/>
        </w:rPr>
        <w:t xml:space="preserve">− samtliga analyser av provet som behövs för provgivarens vård eller behandling har genomförts, och </w:t>
      </w:r>
    </w:p>
    <w:p w14:paraId="3BF17DB9" w14:textId="77777777" w:rsidR="00112FC3" w:rsidRPr="00112FC3" w:rsidRDefault="00112FC3" w:rsidP="00112FC3">
      <w:pPr>
        <w:rPr>
          <w:i/>
          <w:iCs/>
          <w:sz w:val="21"/>
          <w:szCs w:val="21"/>
        </w:rPr>
      </w:pPr>
      <w:r w:rsidRPr="00112FC3">
        <w:rPr>
          <w:i/>
          <w:iCs/>
          <w:sz w:val="21"/>
          <w:szCs w:val="21"/>
        </w:rPr>
        <w:lastRenderedPageBreak/>
        <w:t>− syftet med provtagningen har uppfyllts.</w:t>
      </w:r>
    </w:p>
    <w:p w14:paraId="3A7108DC" w14:textId="00D0873E" w:rsidR="00112FC3" w:rsidRPr="00112FC3" w:rsidRDefault="00112FC3" w:rsidP="00112FC3">
      <w:pPr>
        <w:rPr>
          <w:sz w:val="21"/>
          <w:szCs w:val="21"/>
        </w:rPr>
      </w:pPr>
      <w:r>
        <w:rPr>
          <w:sz w:val="21"/>
          <w:szCs w:val="21"/>
        </w:rPr>
        <w:t xml:space="preserve">Kommentar: </w:t>
      </w:r>
      <w:r w:rsidRPr="00112FC3">
        <w:rPr>
          <w:sz w:val="21"/>
          <w:szCs w:val="21"/>
        </w:rPr>
        <w:t>Det rimliga är att biobankslagen träder in när provet är färdiganalyserat. FKM tolkar föreskriftens intention så, men tyvärr är inte definitionen formulerad så. Det saknas tydlig hänvisning till när lagen är tillämplig för prov där avsikten är att spara dem. Det står bara ”innan dess” dvs före 9 månader efter provtagning. Man kan tolka definitionen så att biobankslagen gäller omedelbart. I så fall kommer lagen att påverka rutinerna för analys av alla prov som rutinmässigt sparas för patientens vård och behandling och verksamhetens kvalitetssäkring (huvudregel inom patologi och mikrobiologi). Hundratals prov skickas varje dag mellan laboratorierna för tex kompletterande specialanalyser. Denna rutin skulle då bli föremål för reglerna om utlämning från biobank eller skickande för åtgärd vilket riskerar innebära nya administrativa krav. Det är därför av största vikt att definitionen kan förtydligas, helst så att lagen inte ska tillämpas förrän provet är analyserat.</w:t>
      </w:r>
    </w:p>
    <w:p w14:paraId="41291A82" w14:textId="6DC8FB31" w:rsidR="00112FC3" w:rsidRPr="00112FC3" w:rsidRDefault="00112FC3" w:rsidP="00112FC3">
      <w:pPr>
        <w:rPr>
          <w:sz w:val="21"/>
          <w:szCs w:val="21"/>
        </w:rPr>
      </w:pPr>
      <w:r w:rsidRPr="00112FC3">
        <w:rPr>
          <w:i/>
          <w:iCs/>
          <w:sz w:val="21"/>
          <w:szCs w:val="21"/>
        </w:rPr>
        <w:t xml:space="preserve">Förslag: </w:t>
      </w:r>
      <w:r>
        <w:rPr>
          <w:i/>
          <w:iCs/>
          <w:sz w:val="21"/>
          <w:szCs w:val="21"/>
        </w:rPr>
        <w:t>Tillägg till a</w:t>
      </w:r>
      <w:r w:rsidRPr="00112FC3">
        <w:rPr>
          <w:i/>
          <w:iCs/>
          <w:sz w:val="21"/>
          <w:szCs w:val="21"/>
        </w:rPr>
        <w:t>llmänna råd: Biobankslagen tillämpas när analysen är slutförd enlig ovan eller nio månader gått från provtagningstillfället.</w:t>
      </w:r>
    </w:p>
    <w:p w14:paraId="60EAC497" w14:textId="43824980" w:rsidR="00112FC3" w:rsidRPr="00112FC3" w:rsidRDefault="00112FC3" w:rsidP="00112FC3">
      <w:r w:rsidRPr="00112FC3">
        <w:rPr>
          <w:u w:val="single"/>
        </w:rPr>
        <w:t>2. Regler för utlämning av prov</w:t>
      </w:r>
    </w:p>
    <w:p w14:paraId="2984CD1E" w14:textId="77777777" w:rsidR="00112FC3" w:rsidRPr="00112FC3" w:rsidRDefault="00112FC3" w:rsidP="00112FC3">
      <w:r w:rsidRPr="00112FC3">
        <w:t>Biobankslagen (5 kap, 8§) säger att den som skickar ett prov för att en viss åtgärd ska utföras ska:</w:t>
      </w:r>
    </w:p>
    <w:p w14:paraId="66BDBFD4" w14:textId="77777777" w:rsidR="00112FC3" w:rsidRPr="00112FC3" w:rsidRDefault="00112FC3" w:rsidP="00112FC3">
      <w:r w:rsidRPr="00112FC3">
        <w:t xml:space="preserve">   1. upprätta ett avtal med mottagaren om ändamålet med tillgängliggörandet och vad som ska ske med provet efter att åtgärden har utförts, och</w:t>
      </w:r>
    </w:p>
    <w:p w14:paraId="1875103E" w14:textId="77777777" w:rsidR="00112FC3" w:rsidRPr="00112FC3" w:rsidRDefault="00112FC3" w:rsidP="00112FC3">
      <w:r w:rsidRPr="00112FC3">
        <w:t xml:space="preserve">   2. ställa som villkor för tillgängliggörandet att</w:t>
      </w:r>
    </w:p>
    <w:p w14:paraId="5DFCE766" w14:textId="77777777" w:rsidR="00112FC3" w:rsidRPr="00112FC3" w:rsidRDefault="00112FC3" w:rsidP="00112FC3">
      <w:r w:rsidRPr="00112FC3">
        <w:t xml:space="preserve">      a) ett prov som finns bevarat hos mottagaren ska, om den biobanksansvarige begär det, återlämnas eller omedelbart förstöras eller, om det inte är möjligt att förstöra det utan att andra prover förstörs, avidentifieras, och</w:t>
      </w:r>
    </w:p>
    <w:p w14:paraId="7EA683CE" w14:textId="1207ABD7" w:rsidR="00112FC3" w:rsidRPr="00112FC3" w:rsidRDefault="00112FC3" w:rsidP="00112FC3">
      <w:r w:rsidRPr="00112FC3">
        <w:t xml:space="preserve">      b) mottagaren inte använder provet för något annat än det angivna ändamålet.</w:t>
      </w:r>
    </w:p>
    <w:p w14:paraId="551B7656" w14:textId="20CAB810" w:rsidR="00112FC3" w:rsidRPr="00112FC3" w:rsidRDefault="00112FC3" w:rsidP="00112FC3">
      <w:r>
        <w:t xml:space="preserve">Kommentar: </w:t>
      </w:r>
      <w:r w:rsidRPr="00112FC3">
        <w:t>Många prov inom tex mikrobiologi sparas för patientens vård och behandling och för kvalitetssäkring av verksamheten. Samtidigt är det mycket vanligt att ett prov efter initial analys skickas till ett annat laboratorium för kompletterande analyser, tex vid ett nationellt referenslaboratorium. Det är mycket vanligt avseende nytagna prov, men förekommer också för sparade prov. Beroende på hur biobanksprover definieras (enligt frågeställning 1 ovan) kommer då alla eller vissa diagnostiska prov att omfattas av regelverket för utlämnande av prov eller skickande för åtgärd. Det skulle behöva förtydligas hur lagen ska tillämpas i denna situation. Det normala är att provet skickas för en specifik åtgärd och sedan sparas i mottagarens biobank och att åtgärden dokumenteras i laboratorieinformationssystemet (LIS) hos både avsändare och mottagare. Man kan se den remiss som skickas med provet som ett avtal. Avtalet innehåller inga förbehåll om hur provet får användas efter analys. Vanligen sparas det i mottagarens biobank, vilket är nödvändigt för att upprätthålla ett referenslaboratorium för specialanalyser.</w:t>
      </w:r>
    </w:p>
    <w:p w14:paraId="1997AEDD" w14:textId="77777777" w:rsidR="00112FC3" w:rsidRPr="00112FC3" w:rsidRDefault="00112FC3" w:rsidP="00112FC3">
      <w:r w:rsidRPr="00112FC3">
        <w:t>Sjukvården behöver här en praktisk tolkning av regelverket som inte skapar oklarhet om den legala grunden för sin ordinarie verksamhet.</w:t>
      </w:r>
    </w:p>
    <w:p w14:paraId="6B1C2428" w14:textId="20CF7B14" w:rsidR="00112FC3" w:rsidRPr="00112FC3" w:rsidRDefault="00112FC3" w:rsidP="00112FC3">
      <w:pPr>
        <w:rPr>
          <w:i/>
          <w:iCs/>
        </w:rPr>
      </w:pPr>
      <w:r>
        <w:rPr>
          <w:i/>
          <w:iCs/>
        </w:rPr>
        <w:t>Huvudf</w:t>
      </w:r>
      <w:r w:rsidRPr="00112FC3">
        <w:rPr>
          <w:i/>
          <w:iCs/>
        </w:rPr>
        <w:t>örslag:</w:t>
      </w:r>
      <w:r>
        <w:rPr>
          <w:i/>
          <w:iCs/>
        </w:rPr>
        <w:t xml:space="preserve"> (</w:t>
      </w:r>
      <w:r w:rsidRPr="00112FC3">
        <w:rPr>
          <w:i/>
          <w:iCs/>
        </w:rPr>
        <w:t>2 kap 4 §</w:t>
      </w:r>
      <w:r>
        <w:rPr>
          <w:i/>
          <w:iCs/>
        </w:rPr>
        <w:t>)</w:t>
      </w:r>
      <w:r w:rsidRPr="00112FC3">
        <w:rPr>
          <w:i/>
          <w:iCs/>
        </w:rPr>
        <w:t xml:space="preserve"> När prover lämnas ut </w:t>
      </w:r>
      <w:r w:rsidRPr="00112FC3">
        <w:rPr>
          <w:i/>
          <w:iCs/>
          <w:u w:val="single"/>
        </w:rPr>
        <w:t>för andra ändamål än vård och behandling</w:t>
      </w:r>
      <w:r w:rsidRPr="00112FC3">
        <w:rPr>
          <w:i/>
          <w:iCs/>
        </w:rPr>
        <w:t xml:space="preserve"> från en biobank i enlighet med 5 kap. 1 § första stycket 1 biobankslagen (2023:38) ska den som en huvudman har utsett till ansvarig för biobanken säkerställa att utlämnandet dokumenteras. </w:t>
      </w:r>
    </w:p>
    <w:p w14:paraId="31A40480" w14:textId="36AC3DC3" w:rsidR="00112FC3" w:rsidRPr="00112FC3" w:rsidRDefault="00112FC3" w:rsidP="00112FC3">
      <w:pPr>
        <w:rPr>
          <w:i/>
          <w:iCs/>
        </w:rPr>
      </w:pPr>
      <w:r w:rsidRPr="00112FC3">
        <w:rPr>
          <w:i/>
          <w:iCs/>
        </w:rPr>
        <w:t>Av dokumentationen ska det framgå</w:t>
      </w:r>
      <w:r>
        <w:rPr>
          <w:i/>
          <w:iCs/>
        </w:rPr>
        <w:t>….</w:t>
      </w:r>
    </w:p>
    <w:p w14:paraId="183DB647" w14:textId="2D1ECF69" w:rsidR="00112FC3" w:rsidRPr="00112FC3" w:rsidRDefault="00112FC3" w:rsidP="00112FC3">
      <w:pPr>
        <w:rPr>
          <w:i/>
          <w:iCs/>
        </w:rPr>
      </w:pPr>
      <w:r w:rsidRPr="00112FC3">
        <w:rPr>
          <w:i/>
          <w:iCs/>
        </w:rPr>
        <w:lastRenderedPageBreak/>
        <w:t>Alternativt</w:t>
      </w:r>
      <w:r>
        <w:rPr>
          <w:i/>
          <w:iCs/>
        </w:rPr>
        <w:t xml:space="preserve"> förslag</w:t>
      </w:r>
      <w:r w:rsidRPr="00112FC3">
        <w:rPr>
          <w:i/>
          <w:iCs/>
        </w:rPr>
        <w:t>: Allmänna råd: När ett prov skickas med remiss för patientens vård och behandling till annat laboratorium i Sverige är villkoren i 5kap 8§ uppfyllda.</w:t>
      </w:r>
    </w:p>
    <w:p w14:paraId="12868C33" w14:textId="277A090C" w:rsidR="00112FC3" w:rsidRPr="00112FC3" w:rsidRDefault="001550DC" w:rsidP="00112FC3">
      <w:pPr>
        <w:rPr>
          <w:sz w:val="21"/>
          <w:szCs w:val="21"/>
          <w:u w:val="single"/>
        </w:rPr>
      </w:pPr>
      <w:r>
        <w:rPr>
          <w:sz w:val="21"/>
          <w:szCs w:val="21"/>
          <w:u w:val="single"/>
        </w:rPr>
        <w:t xml:space="preserve">3. </w:t>
      </w:r>
      <w:r w:rsidR="00112FC3" w:rsidRPr="00112FC3">
        <w:rPr>
          <w:sz w:val="21"/>
          <w:szCs w:val="21"/>
          <w:u w:val="single"/>
        </w:rPr>
        <w:t>Bevarande av dokumentation i 30 år</w:t>
      </w:r>
    </w:p>
    <w:p w14:paraId="376AACC2" w14:textId="4C3BA72A" w:rsidR="00E0156D" w:rsidRDefault="00112FC3" w:rsidP="00112FC3">
      <w:pPr>
        <w:rPr>
          <w:sz w:val="21"/>
          <w:szCs w:val="21"/>
        </w:rPr>
      </w:pPr>
      <w:r w:rsidRPr="00112FC3">
        <w:rPr>
          <w:sz w:val="21"/>
          <w:szCs w:val="21"/>
        </w:rPr>
        <w:t>Socialstyrelsen vill föreskriva att dokumentation om utlämnande av prov ska sparas i 30 år efter utlämnandet. Denna tidsrymd anges inte av biobankslagen</w:t>
      </w:r>
      <w:r w:rsidR="00ED008C">
        <w:rPr>
          <w:sz w:val="21"/>
          <w:szCs w:val="21"/>
        </w:rPr>
        <w:t xml:space="preserve">. </w:t>
      </w:r>
      <w:r w:rsidRPr="00112FC3">
        <w:rPr>
          <w:sz w:val="21"/>
          <w:szCs w:val="21"/>
        </w:rPr>
        <w:t>Detta är svårt att uppfylla för vårdens prov, och det är ett viktigt skäl för att FKM anser att prov som lämnas ut för vård undantas enligt huvudförslag ovan.</w:t>
      </w:r>
    </w:p>
    <w:p w14:paraId="4EBD422A" w14:textId="5554F5E8" w:rsidR="00112FC3" w:rsidRPr="00112FC3" w:rsidRDefault="00112FC3" w:rsidP="00112FC3">
      <w:pPr>
        <w:rPr>
          <w:sz w:val="21"/>
          <w:szCs w:val="21"/>
        </w:rPr>
      </w:pPr>
      <w:r w:rsidRPr="00112FC3">
        <w:rPr>
          <w:sz w:val="21"/>
          <w:szCs w:val="21"/>
        </w:rPr>
        <w:t>Information om de enskilda proverna och provgivarna finns i laboratoriedatasystemet (LIS). LIS utgör också själva kodnyckeln som kopplar ihop ett prov med dess provgivare. I LIS lagras också vanligen information om utlämning av ett prov, och det är den enda rimliga platsen för dokumentation av de prov som skickas för analys till annat laboratorium i vårdsyfte som beskrivs ovan. LIS har dock normalt en betydligt kortare livslängd än 30 år, och det finns inga garantier från leverantörerna att hålla systemen funktionella så länge. Det har också visat sig svårt att konvertera data vid byte av system. Då blir lösningen i stället att biobanken naturligt gallras när man byter system och proverna upphör att vara identifierbara. Således är det svårt att upprätthålla dokumentation om utlämnade prov i 30 år efter utlämnandet.</w:t>
      </w:r>
    </w:p>
    <w:p w14:paraId="4DA02398" w14:textId="27D4C320" w:rsidR="00112FC3" w:rsidRPr="00112FC3" w:rsidRDefault="00112FC3" w:rsidP="00112FC3">
      <w:pPr>
        <w:rPr>
          <w:sz w:val="21"/>
          <w:szCs w:val="21"/>
        </w:rPr>
      </w:pPr>
      <w:r w:rsidRPr="00112FC3">
        <w:rPr>
          <w:sz w:val="21"/>
          <w:szCs w:val="21"/>
        </w:rPr>
        <w:t>Det är rimligare att ha kravet (som hos mottagaren) att den dokumentation som behövs för att säkerställa provets spårbarhet ska sparas minst lika länge som provet bevaras i biobanken. Information om det skickade provet finns ju hos mottagande biobank så länge provet finns där. Lagstiftningens intention måste rimligen anses vara att en provgivare ska kunna få information om vilka prov från denne som finns sparade i biobank och eventuellt kunna ändra samtyckesvillkor eller be</w:t>
      </w:r>
      <w:r w:rsidR="00952234">
        <w:rPr>
          <w:sz w:val="21"/>
          <w:szCs w:val="21"/>
        </w:rPr>
        <w:t xml:space="preserve"> om</w:t>
      </w:r>
      <w:r w:rsidRPr="00112FC3">
        <w:rPr>
          <w:sz w:val="21"/>
          <w:szCs w:val="21"/>
        </w:rPr>
        <w:t xml:space="preserve"> att proverna förstör</w:t>
      </w:r>
      <w:r w:rsidR="00952234">
        <w:rPr>
          <w:sz w:val="21"/>
          <w:szCs w:val="21"/>
        </w:rPr>
        <w:t>s</w:t>
      </w:r>
      <w:r w:rsidRPr="00112FC3">
        <w:rPr>
          <w:sz w:val="21"/>
          <w:szCs w:val="21"/>
        </w:rPr>
        <w:t>. Den spårbarheten går bra att upprätthålla så länge provet finns som biobanksprov någonstans, genom att man ber alla biobanker söka på relevant personnummer.</w:t>
      </w:r>
    </w:p>
    <w:p w14:paraId="13824BFF" w14:textId="77777777" w:rsidR="00112FC3" w:rsidRPr="00112FC3" w:rsidRDefault="00112FC3" w:rsidP="00112FC3">
      <w:r w:rsidRPr="00112FC3">
        <w:t>Den grundläggande ansatsen att spårbarhet skapas genom att man dokumenterar vilka prov som lämnas ut är helt felaktig i sjukvårdskontexten. Att spara meningsfull dokumentation om detta i 30 år är också praktiskt mycket svårt, och skapar en administrativ börda i sjukvården utan synbar nytta för patienten. Varje laboratorium (biobank) kan och ska däremot alltid kunna redogöra för om man har ett sparat prov på en individ eller inte.</w:t>
      </w:r>
    </w:p>
    <w:p w14:paraId="08AA3DF2" w14:textId="1F2F9C0E" w:rsidR="00112FC3" w:rsidRPr="00112FC3" w:rsidRDefault="00112FC3" w:rsidP="00112FC3">
      <w:r w:rsidRPr="00112FC3">
        <w:t xml:space="preserve">För prov som lämnas ut för forskning kan andra rutiner eventuellt vara motiverade. Den långa bevarandetiden </w:t>
      </w:r>
      <w:r w:rsidR="00E0156D">
        <w:t xml:space="preserve">för dokumentationen </w:t>
      </w:r>
      <w:r w:rsidRPr="00112FC3">
        <w:t>är fortfarande ett praktiskt problem, och det kommer att vara svårt att ha informationen praktiskt sökbar så länge. En bevarandetid som stämmer med sjukvårdens och forskningens generella arkiveringskrav bör eftersträvas.</w:t>
      </w:r>
    </w:p>
    <w:p w14:paraId="5B7B3C2C" w14:textId="632632A1" w:rsidR="00112FC3" w:rsidRPr="00112FC3" w:rsidRDefault="00112FC3" w:rsidP="00112FC3">
      <w:pPr>
        <w:rPr>
          <w:i/>
          <w:iCs/>
        </w:rPr>
      </w:pPr>
      <w:r w:rsidRPr="00112FC3">
        <w:rPr>
          <w:i/>
          <w:iCs/>
        </w:rPr>
        <w:t>Huvudförslag:</w:t>
      </w:r>
      <w:r>
        <w:rPr>
          <w:i/>
          <w:iCs/>
        </w:rPr>
        <w:t xml:space="preserve"> (</w:t>
      </w:r>
      <w:r w:rsidRPr="00112FC3">
        <w:rPr>
          <w:i/>
          <w:iCs/>
        </w:rPr>
        <w:t>2 kap 4 §</w:t>
      </w:r>
      <w:r>
        <w:rPr>
          <w:i/>
          <w:iCs/>
        </w:rPr>
        <w:t>)</w:t>
      </w:r>
      <w:r w:rsidRPr="00112FC3">
        <w:rPr>
          <w:i/>
          <w:iCs/>
        </w:rPr>
        <w:t xml:space="preserve"> När prover lämnas ut </w:t>
      </w:r>
      <w:r w:rsidRPr="00112FC3">
        <w:rPr>
          <w:i/>
          <w:iCs/>
          <w:u w:val="single"/>
        </w:rPr>
        <w:t>för andra ändamål än vård och behandling</w:t>
      </w:r>
      <w:r w:rsidRPr="00112FC3">
        <w:rPr>
          <w:i/>
          <w:iCs/>
        </w:rPr>
        <w:t xml:space="preserve"> från en biobank i enlighet med 5 kap. 1 § första stycket 1 biobankslagen (2023:38) ska den som en huvudman har utsett till ansvarig för biobanken säkerställa att utlämnandet dokumenteras</w:t>
      </w:r>
      <w:r>
        <w:rPr>
          <w:i/>
          <w:iCs/>
        </w:rPr>
        <w:t>….</w:t>
      </w:r>
    </w:p>
    <w:p w14:paraId="06172B42" w14:textId="15B404FB" w:rsidR="00112FC3" w:rsidRPr="00112FC3" w:rsidRDefault="00112FC3" w:rsidP="00112FC3">
      <w:pPr>
        <w:rPr>
          <w:i/>
          <w:iCs/>
          <w:u w:val="single"/>
        </w:rPr>
      </w:pPr>
      <w:r w:rsidRPr="00112FC3">
        <w:rPr>
          <w:i/>
          <w:iCs/>
        </w:rPr>
        <w:t xml:space="preserve">Alternativt förslag: (2kap 5§): </w:t>
      </w:r>
      <w:r w:rsidRPr="00112FC3">
        <w:rPr>
          <w:i/>
          <w:iCs/>
          <w:sz w:val="21"/>
          <w:szCs w:val="21"/>
        </w:rPr>
        <w:t>Dokumentation som behövs för att säkerställa provets spårbarhet ska sparas minst lika länge som provet bevaras i biobanken.</w:t>
      </w:r>
    </w:p>
    <w:p w14:paraId="41E33B3F" w14:textId="688F8B92" w:rsidR="00112FC3" w:rsidRPr="00112FC3" w:rsidRDefault="001550DC" w:rsidP="00112FC3">
      <w:pPr>
        <w:rPr>
          <w:u w:val="single"/>
        </w:rPr>
      </w:pPr>
      <w:r>
        <w:rPr>
          <w:u w:val="single"/>
        </w:rPr>
        <w:t>4</w:t>
      </w:r>
      <w:r w:rsidR="00112FC3" w:rsidRPr="00112FC3">
        <w:rPr>
          <w:u w:val="single"/>
        </w:rPr>
        <w:t>. Provgivares oförmögenhet till ställningstagande</w:t>
      </w:r>
    </w:p>
    <w:p w14:paraId="21614D4B" w14:textId="28BF025E" w:rsidR="00112FC3" w:rsidRPr="00112FC3" w:rsidRDefault="00E0156D" w:rsidP="00112FC3">
      <w:r>
        <w:t xml:space="preserve">Föreskrifter </w:t>
      </w:r>
      <w:r w:rsidR="00112FC3" w:rsidRPr="00112FC3">
        <w:t>3 kap 2§</w:t>
      </w:r>
      <w:r>
        <w:t>:</w:t>
      </w:r>
      <w:r w:rsidR="00112FC3" w:rsidRPr="00112FC3">
        <w:t xml:space="preserve"> FKM </w:t>
      </w:r>
      <w:r w:rsidR="00C25949">
        <w:t>noterar</w:t>
      </w:r>
      <w:r w:rsidR="00404C06">
        <w:t xml:space="preserve"> att föreskrifterna </w:t>
      </w:r>
      <w:r w:rsidR="00C25949">
        <w:t xml:space="preserve">inte </w:t>
      </w:r>
      <w:r w:rsidR="00404C06">
        <w:t>adresserar det</w:t>
      </w:r>
      <w:r w:rsidR="00C25949">
        <w:t xml:space="preserve"> </w:t>
      </w:r>
      <w:r w:rsidR="00404C06">
        <w:t>problematiska med biobankslagens 4 kap 9§ att ett prov från en beslutsoförmögen</w:t>
      </w:r>
      <w:r w:rsidR="00952234">
        <w:t xml:space="preserve"> individ</w:t>
      </w:r>
      <w:r w:rsidR="00404C06">
        <w:t xml:space="preserve"> inte </w:t>
      </w:r>
      <w:r w:rsidR="00C25949">
        <w:t>får</w:t>
      </w:r>
      <w:r w:rsidR="00404C06">
        <w:t xml:space="preserve"> användas för forskning. FKM </w:t>
      </w:r>
      <w:r w:rsidR="00112FC3" w:rsidRPr="00112FC3">
        <w:t>vill understryka att det idag inte går att på provnivå skilja ut de prov som tagits på beslutsoförmögna enligt lagens definition</w:t>
      </w:r>
      <w:r w:rsidR="001D77CB">
        <w:t xml:space="preserve"> och att lagen därför är svår att implementera</w:t>
      </w:r>
      <w:r w:rsidR="00112FC3" w:rsidRPr="00112FC3">
        <w:t xml:space="preserve">. Erfarenheten från implementeringen av den gamla biobankslagen har tydligt visat att aktiv registrering av samtycke eller beslutsoförmögenhet inte fungerat i praktiken. FKM vänder sig också </w:t>
      </w:r>
      <w:r w:rsidR="00112FC3" w:rsidRPr="00112FC3">
        <w:lastRenderedPageBreak/>
        <w:t xml:space="preserve">emot att resurser i vården </w:t>
      </w:r>
      <w:r w:rsidR="006116E8">
        <w:t xml:space="preserve">som ska användas </w:t>
      </w:r>
      <w:r w:rsidR="00112FC3" w:rsidRPr="00112FC3">
        <w:t>för att säkerställa god och säker vård</w:t>
      </w:r>
      <w:r w:rsidR="00112FC3">
        <w:t xml:space="preserve"> i stället</w:t>
      </w:r>
      <w:r w:rsidR="00112FC3" w:rsidRPr="00112FC3">
        <w:t xml:space="preserve"> ska avsättas för att förhindra forskning om allvarliga tillstånd </w:t>
      </w:r>
      <w:r w:rsidR="0050490E">
        <w:t>genom att</w:t>
      </w:r>
      <w:r w:rsidR="00112FC3" w:rsidRPr="00112FC3">
        <w:t xml:space="preserve"> stoppa beslutsoförmögna från att delta i forskning på lika villkor som andra. Uppgift om beslutskompetens enligt lagens definition på provnivå är inte något som vården behöver för säkerställa god och säker vård och det skulle ta stora resurser från vården att tillämpa ett sådant system och arbetssätt till ingen nytta.</w:t>
      </w:r>
      <w:r>
        <w:t xml:space="preserve"> </w:t>
      </w:r>
    </w:p>
    <w:p w14:paraId="03815CD1" w14:textId="77777777" w:rsidR="00112FC3" w:rsidRPr="00112FC3" w:rsidRDefault="00112FC3"/>
    <w:p w14:paraId="13A6B276" w14:textId="2CDF09A2" w:rsidR="008B244F" w:rsidRPr="00112FC3" w:rsidRDefault="00086E61">
      <w:r w:rsidRPr="00112FC3">
        <w:t xml:space="preserve">För </w:t>
      </w:r>
      <w:r w:rsidR="00B73FB2" w:rsidRPr="00112FC3">
        <w:t>F</w:t>
      </w:r>
      <w:r w:rsidRPr="00112FC3">
        <w:t>öreningen för Klinisk Mikrobiologi</w:t>
      </w:r>
    </w:p>
    <w:p w14:paraId="3DA73344" w14:textId="77777777" w:rsidR="0081247F" w:rsidRDefault="0081247F"/>
    <w:p w14:paraId="3B979123" w14:textId="57D5BC57" w:rsidR="00086E61" w:rsidRPr="00112FC3" w:rsidRDefault="00086E61">
      <w:r w:rsidRPr="00112FC3">
        <w:t>Tobias Allander, ordförande</w:t>
      </w:r>
    </w:p>
    <w:p w14:paraId="0EEA9741" w14:textId="58B952E8" w:rsidR="00086E61" w:rsidRPr="00112FC3" w:rsidRDefault="00086E61"/>
    <w:p w14:paraId="58AE7442" w14:textId="77777777" w:rsidR="00086E61" w:rsidRPr="00112FC3" w:rsidRDefault="00086E61"/>
    <w:sectPr w:rsidR="00086E61" w:rsidRPr="00112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C5"/>
    <w:multiLevelType w:val="hybridMultilevel"/>
    <w:tmpl w:val="95766F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20152BC"/>
    <w:multiLevelType w:val="hybridMultilevel"/>
    <w:tmpl w:val="1408DE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09206697">
    <w:abstractNumId w:val="1"/>
  </w:num>
  <w:num w:numId="2" w16cid:durableId="17930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61"/>
    <w:rsid w:val="00010AE7"/>
    <w:rsid w:val="000629B4"/>
    <w:rsid w:val="00080F13"/>
    <w:rsid w:val="00086E61"/>
    <w:rsid w:val="000F252F"/>
    <w:rsid w:val="0010326F"/>
    <w:rsid w:val="00112FC3"/>
    <w:rsid w:val="00125B90"/>
    <w:rsid w:val="001378C1"/>
    <w:rsid w:val="001550DC"/>
    <w:rsid w:val="0017616F"/>
    <w:rsid w:val="001D77CB"/>
    <w:rsid w:val="00221D94"/>
    <w:rsid w:val="00287412"/>
    <w:rsid w:val="00342941"/>
    <w:rsid w:val="003D180D"/>
    <w:rsid w:val="00404C06"/>
    <w:rsid w:val="00442764"/>
    <w:rsid w:val="004B3277"/>
    <w:rsid w:val="0050490E"/>
    <w:rsid w:val="00512E5B"/>
    <w:rsid w:val="005852B6"/>
    <w:rsid w:val="006116E8"/>
    <w:rsid w:val="00671486"/>
    <w:rsid w:val="00674661"/>
    <w:rsid w:val="0080000D"/>
    <w:rsid w:val="00805248"/>
    <w:rsid w:val="0081247F"/>
    <w:rsid w:val="00850B2F"/>
    <w:rsid w:val="008A0D2F"/>
    <w:rsid w:val="008B244F"/>
    <w:rsid w:val="00952234"/>
    <w:rsid w:val="00986332"/>
    <w:rsid w:val="00987AEC"/>
    <w:rsid w:val="00993958"/>
    <w:rsid w:val="00996BEF"/>
    <w:rsid w:val="00A55646"/>
    <w:rsid w:val="00AB5E13"/>
    <w:rsid w:val="00AB6333"/>
    <w:rsid w:val="00B73FB2"/>
    <w:rsid w:val="00BC113A"/>
    <w:rsid w:val="00C173DA"/>
    <w:rsid w:val="00C25949"/>
    <w:rsid w:val="00D122DB"/>
    <w:rsid w:val="00D81C19"/>
    <w:rsid w:val="00D82FAA"/>
    <w:rsid w:val="00D83FBA"/>
    <w:rsid w:val="00DB0B1A"/>
    <w:rsid w:val="00E0156D"/>
    <w:rsid w:val="00E106A0"/>
    <w:rsid w:val="00E92BF6"/>
    <w:rsid w:val="00ED008C"/>
    <w:rsid w:val="00ED4F10"/>
    <w:rsid w:val="00F57638"/>
    <w:rsid w:val="00F61C23"/>
    <w:rsid w:val="00F67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785B"/>
  <w15:chartTrackingRefBased/>
  <w15:docId w15:val="{5E306D9E-67B0-4DB3-8C2E-3F2EE2AA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C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0D2F"/>
    <w:pPr>
      <w:ind w:left="720"/>
      <w:contextualSpacing/>
    </w:pPr>
  </w:style>
  <w:style w:type="paragraph" w:customStyle="1" w:styleId="Default">
    <w:name w:val="Default"/>
    <w:rsid w:val="00112FC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1752">
      <w:bodyDiv w:val="1"/>
      <w:marLeft w:val="0"/>
      <w:marRight w:val="0"/>
      <w:marTop w:val="0"/>
      <w:marBottom w:val="0"/>
      <w:divBdr>
        <w:top w:val="none" w:sz="0" w:space="0" w:color="auto"/>
        <w:left w:val="none" w:sz="0" w:space="0" w:color="auto"/>
        <w:bottom w:val="none" w:sz="0" w:space="0" w:color="auto"/>
        <w:right w:val="none" w:sz="0" w:space="0" w:color="auto"/>
      </w:divBdr>
    </w:div>
    <w:div w:id="14644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1636</Words>
  <Characters>8677</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Allander</dc:creator>
  <cp:keywords/>
  <dc:description/>
  <cp:lastModifiedBy>Tobias Allander</cp:lastModifiedBy>
  <cp:revision>6</cp:revision>
  <dcterms:created xsi:type="dcterms:W3CDTF">2024-09-24T08:18:00Z</dcterms:created>
  <dcterms:modified xsi:type="dcterms:W3CDTF">2024-09-24T13:44:00Z</dcterms:modified>
</cp:coreProperties>
</file>