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150"/>
      </w:tblGrid>
      <w:tr w:rsidR="005A2070" w14:paraId="717521F3" w14:textId="77777777" w:rsidTr="004301F2">
        <w:trPr>
          <w:trHeight w:val="4895"/>
        </w:trPr>
        <w:tc>
          <w:tcPr>
            <w:tcW w:w="7290" w:type="dxa"/>
            <w:vAlign w:val="bottom"/>
          </w:tcPr>
          <w:sdt>
            <w:sdtPr>
              <w:alias w:val="Title"/>
              <w:tag w:val=""/>
              <w:id w:val="845835212"/>
              <w:placeholder>
                <w:docPart w:val="680C53768A0340C4B55DA11173D0B70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43F74EA" w14:textId="77777777" w:rsidR="005A2070" w:rsidRPr="00A42BEE" w:rsidRDefault="003C1DCA" w:rsidP="006A3BA7">
                <w:pPr>
                  <w:pStyle w:val="SoSTitelOmslag"/>
                </w:pPr>
                <w:r>
                  <w:t>Nationellt register över blodgivare och plan för ökad kapacitet</w:t>
                </w:r>
              </w:p>
            </w:sdtContent>
          </w:sdt>
        </w:tc>
      </w:tr>
      <w:tr w:rsidR="005A2070" w14:paraId="7FBDE471" w14:textId="77777777" w:rsidTr="004301F2">
        <w:trPr>
          <w:trHeight w:hRule="exact" w:val="3686"/>
        </w:trPr>
        <w:tc>
          <w:tcPr>
            <w:tcW w:w="7290" w:type="dxa"/>
            <w:tcMar>
              <w:top w:w="57" w:type="dxa"/>
            </w:tcMar>
          </w:tcPr>
          <w:sdt>
            <w:sdtPr>
              <w:id w:val="-1978372171"/>
              <w:placeholder>
                <w:docPart w:val="E8D5BE4D9BB741C2A8AD8C1AD5F13C5D"/>
              </w:placeholder>
            </w:sdtPr>
            <w:sdtEndPr/>
            <w:sdtContent>
              <w:p w14:paraId="35A46B87" w14:textId="77777777" w:rsidR="005A2070" w:rsidRPr="00A42BEE" w:rsidRDefault="00372934" w:rsidP="006A3BA7">
                <w:pPr>
                  <w:pStyle w:val="SoSUndertitelOmslag"/>
                </w:pPr>
                <w:r>
                  <w:t>Delr</w:t>
                </w:r>
                <w:r w:rsidR="006A3BA7">
                  <w:t xml:space="preserve">apportering </w:t>
                </w:r>
              </w:p>
            </w:sdtContent>
          </w:sdt>
        </w:tc>
      </w:tr>
    </w:tbl>
    <w:p w14:paraId="32F1D16A" w14:textId="77777777" w:rsidR="00A10D9F" w:rsidRDefault="00A10D9F" w:rsidP="00C01E6B">
      <w:pPr>
        <w:pStyle w:val="SoSBrdtext"/>
      </w:pPr>
      <w:r>
        <w:t xml:space="preserve">En undertitel ska hjälpa till att precisera vad rapporten handlar om. För att underlätta vid sökning på internet är det bra om det viktigaste kommer tidigt i titeln och om </w:t>
      </w:r>
      <w:r w:rsidR="00C01E6B">
        <w:t xml:space="preserve">titeln </w:t>
      </w:r>
      <w:r>
        <w:t xml:space="preserve">är kort. Se även till att titeln inte </w:t>
      </w:r>
      <w:r w:rsidR="00AE0E90">
        <w:t>är upptagen</w:t>
      </w:r>
      <w:r>
        <w:t xml:space="preserve"> (både externt och internt). Här ska inte författarens namn, datum eller version stå. </w:t>
      </w:r>
      <w:r w:rsidR="006C69EB">
        <w:rPr>
          <w:noProof/>
        </w:rPr>
        <w:drawing>
          <wp:anchor distT="0" distB="0" distL="114300" distR="114300" simplePos="0" relativeHeight="251663360" behindDoc="0" locked="1" layoutInCell="1" allowOverlap="1" wp14:anchorId="02FEAD8A" wp14:editId="7F543283">
            <wp:simplePos x="0" y="0"/>
            <wp:positionH relativeFrom="page">
              <wp:posOffset>1234440</wp:posOffset>
            </wp:positionH>
            <wp:positionV relativeFrom="page">
              <wp:posOffset>9654540</wp:posOffset>
            </wp:positionV>
            <wp:extent cx="2178000" cy="45732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8">
                      <a:extLst>
                        <a:ext uri="{28A0092B-C50C-407E-A947-70E740481C1C}">
                          <a14:useLocalDpi xmlns:a14="http://schemas.microsoft.com/office/drawing/2010/main" val="0"/>
                        </a:ext>
                      </a:extLst>
                    </a:blip>
                    <a:stretch>
                      <a:fillRect/>
                    </a:stretch>
                  </pic:blipFill>
                  <pic:spPr>
                    <a:xfrm>
                      <a:off x="0" y="0"/>
                      <a:ext cx="2178000" cy="457323"/>
                    </a:xfrm>
                    <a:prstGeom prst="rect">
                      <a:avLst/>
                    </a:prstGeom>
                  </pic:spPr>
                </pic:pic>
              </a:graphicData>
            </a:graphic>
            <wp14:sizeRelH relativeFrom="margin">
              <wp14:pctWidth>0</wp14:pctWidth>
            </wp14:sizeRelH>
            <wp14:sizeRelV relativeFrom="margin">
              <wp14:pctHeight>0</wp14:pctHeight>
            </wp14:sizeRelV>
          </wp:anchor>
        </w:drawing>
      </w:r>
    </w:p>
    <w:p w14:paraId="01FBADD9" w14:textId="77777777" w:rsidR="00AC223B" w:rsidRDefault="00AC223B" w:rsidP="00AC223B">
      <w:pPr>
        <w:pStyle w:val="SoSBrdtext"/>
      </w:pPr>
      <w:r>
        <w:br w:type="page"/>
      </w:r>
    </w:p>
    <w:p w14:paraId="2F49053F" w14:textId="77777777" w:rsidR="005D6B54" w:rsidRPr="00493EDE" w:rsidRDefault="00B2752B" w:rsidP="00437D26">
      <w:pPr>
        <w:pStyle w:val="SoSBrdtextindragfrstaraden"/>
      </w:pPr>
      <w:r>
        <w:rPr>
          <w:noProof/>
        </w:rPr>
        <w:lastRenderedPageBreak/>
        <mc:AlternateContent>
          <mc:Choice Requires="wps">
            <w:drawing>
              <wp:anchor distT="0" distB="0" distL="114300" distR="114300" simplePos="0" relativeHeight="251659264" behindDoc="0" locked="0" layoutInCell="1" allowOverlap="1" wp14:anchorId="5C22D250" wp14:editId="3EEB283F">
                <wp:simplePos x="0" y="0"/>
                <wp:positionH relativeFrom="column">
                  <wp:posOffset>-73025</wp:posOffset>
                </wp:positionH>
                <wp:positionV relativeFrom="paragraph">
                  <wp:posOffset>170180</wp:posOffset>
                </wp:positionV>
                <wp:extent cx="4410075" cy="1403985"/>
                <wp:effectExtent l="0" t="0" r="952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noFill/>
                          <a:miter lim="800000"/>
                          <a:headEnd/>
                          <a:tailEnd/>
                        </a:ln>
                      </wps:spPr>
                      <wps:txbx>
                        <w:txbxContent>
                          <w:p w14:paraId="14B49DB7" w14:textId="77777777" w:rsidR="00863A4C" w:rsidRPr="00CC0ADD" w:rsidRDefault="00863A4C" w:rsidP="00B2752B">
                            <w:pPr>
                              <w:pStyle w:val="SoSBrdtext"/>
                            </w:pPr>
                            <w:r w:rsidRPr="00CC0ADD">
                              <w:t xml:space="preserve">Här finns ingen text i vanliga rapporter, dock i statistikrapporter. </w:t>
                            </w:r>
                          </w:p>
                          <w:p w14:paraId="701332C5" w14:textId="77777777" w:rsidR="00863A4C" w:rsidRPr="00F126D3" w:rsidRDefault="00863A4C" w:rsidP="00F126D3">
                            <w:pPr>
                              <w:pStyle w:val="SoSBrdtextindragfrstaraden"/>
                            </w:pPr>
                            <w:r w:rsidRPr="00F126D3">
                              <w:t>I rapportmallen skriver du till exempel rapporter, lägesrapporter och vägledningar. Texter som senare ska formges skrivs och formateras först i rapportmallen för att underlätta vid formateringen och säkerställa att det blir rätt rubriknivåer m.m.</w:t>
                            </w:r>
                          </w:p>
                          <w:p w14:paraId="2B8F9FBC" w14:textId="77777777" w:rsidR="00863A4C" w:rsidRDefault="00863A4C" w:rsidP="00B275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22D250" id="_x0000_t202" coordsize="21600,21600" o:spt="202" path="m,l,21600r21600,l21600,xe">
                <v:stroke joinstyle="miter"/>
                <v:path gradientshapeok="t" o:connecttype="rect"/>
              </v:shapetype>
              <v:shape id="Textruta 2" o:spid="_x0000_s1026" type="#_x0000_t202" style="position:absolute;left:0;text-align:left;margin-left:-5.75pt;margin-top:13.4pt;width:347.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wTJAIAAB4EAAAOAAAAZHJzL2Uyb0RvYy54bWysU9tu2zAMfR+wfxD0vthJnSUx4hRdugwD&#10;ugvQ7gNkWY6FSaImKbGzrx8lp2m2vQ3zg0Ca5NHhIbW+HbQiR+G8BFPR6SSnRBgOjTT7in572r1Z&#10;UuIDMw1TYERFT8LT283rV+velmIGHahGOIIgxpe9rWgXgi2zzPNOaOYnYIXBYAtOs4Cu22eNYz2i&#10;a5XN8vxt1oNrrAMuvMe/92OQbhJ+2woevrStF4GoiiK3kE6Xzjqe2WbNyr1jtpP8TIP9AwvNpMFL&#10;L1D3LDBycPIvKC25Aw9tmHDQGbSt5CL1gN1M8z+6eeyYFakXFMfbi0z+/8Hyz8evjsimojf5ghLD&#10;NA7pSQzBHbCDWdSnt77EtEeLiWF4BwPOOfXq7QPw754Y2HbM7MWdc9B3gjXIbxors6vSEcdHkLr/&#10;BA1eww4BEtDQOh3FQzkIouOcTpfZIBXC8WdRTPN8MaeEY2xa5Der5Tzdwcrncut8+CBAk2hU1OHw&#10;Ezw7PvgQ6bDyOSXe5kHJZieVSo7b11vlyJHhouzSd0b/LU0Z0ld0NZ/NE7KBWJ92SMuAi6ykrugy&#10;j18sZ2WU471pkh2YVKONTJQ56xMlGcUJQz1gYhSthuaESjkYFxYfGBoduJ+U9LisFfU/DswJStRH&#10;g2qvpkURtzs5xXwxQ8ddR+rrCDMcoSoaKBnNbUgvIulg73AqO5n0emFy5opLmGQ8P5i45dd+ynp5&#10;1ptfAAAA//8DAFBLAwQUAAYACAAAACEAHx/QAN4AAAAKAQAADwAAAGRycy9kb3ducmV2LnhtbEyP&#10;PU/DMBCGdyT+g3VIbK2TQkMb4lQIiQV1oIWhoxsfcUh8DrHThn/PMZXx3nv0fhSbyXXihENoPClI&#10;5wkIpMqbhmoFH+8vsxWIEDUZ3XlCBT8YYFNeXxU6N/5MOzztYy3YhEKuFdgY+1zKUFl0Osx9j8S/&#10;Tz84HfkcamkGfWZz18lFkmTS6YY4weoeny1W7X50HLIN1bjz31/ptpUH22Z6+WZflbq9mZ4eQUSc&#10;4gWGv/pcHUrudPQjmSA6BbM0XTKqYJHxBAay1R2PO7Jw/7AGWRby/4TyFwAA//8DAFBLAQItABQA&#10;BgAIAAAAIQC2gziS/gAAAOEBAAATAAAAAAAAAAAAAAAAAAAAAABbQ29udGVudF9UeXBlc10ueG1s&#10;UEsBAi0AFAAGAAgAAAAhADj9If/WAAAAlAEAAAsAAAAAAAAAAAAAAAAALwEAAF9yZWxzLy5yZWxz&#10;UEsBAi0AFAAGAAgAAAAhAGSUnBMkAgAAHgQAAA4AAAAAAAAAAAAAAAAALgIAAGRycy9lMm9Eb2Mu&#10;eG1sUEsBAi0AFAAGAAgAAAAhAB8f0ADeAAAACgEAAA8AAAAAAAAAAAAAAAAAfgQAAGRycy9kb3du&#10;cmV2LnhtbFBLBQYAAAAABAAEAPMAAACJBQAAAAA=&#10;" stroked="f">
                <v:textbox style="mso-fit-shape-to-text:t">
                  <w:txbxContent>
                    <w:p w14:paraId="14B49DB7" w14:textId="77777777" w:rsidR="00863A4C" w:rsidRPr="00CC0ADD" w:rsidRDefault="00863A4C" w:rsidP="00B2752B">
                      <w:pPr>
                        <w:pStyle w:val="SoSBrdtext"/>
                      </w:pPr>
                      <w:r w:rsidRPr="00CC0ADD">
                        <w:t xml:space="preserve">Här finns ingen text i vanliga rapporter, dock i statistikrapporter. </w:t>
                      </w:r>
                    </w:p>
                    <w:p w14:paraId="701332C5" w14:textId="77777777" w:rsidR="00863A4C" w:rsidRPr="00F126D3" w:rsidRDefault="00863A4C" w:rsidP="00F126D3">
                      <w:pPr>
                        <w:pStyle w:val="SoSBrdtextindragfrstaraden"/>
                      </w:pPr>
                      <w:r w:rsidRPr="00F126D3">
                        <w:t>I rapportmallen skriver du till exempel rapporter, lägesrapporter och vägledningar. Texter som senare ska formges skrivs och formateras först i rapportmallen för att underlätta vid formateringen och säkerställa att det blir rätt rubriknivåer m.m.</w:t>
                      </w:r>
                    </w:p>
                    <w:p w14:paraId="2B8F9FBC" w14:textId="77777777" w:rsidR="00863A4C" w:rsidRDefault="00863A4C" w:rsidP="00B2752B"/>
                  </w:txbxContent>
                </v:textbox>
              </v:shape>
            </w:pict>
          </mc:Fallback>
        </mc:AlternateContent>
      </w:r>
    </w:p>
    <w:tbl>
      <w:tblPr>
        <w:tblStyle w:val="Tabellrutnt"/>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tblGrid>
      <w:tr w:rsidR="00AC223B" w14:paraId="49D301AF" w14:textId="77777777" w:rsidTr="00CE44D1">
        <w:trPr>
          <w:trHeight w:val="12469"/>
        </w:trPr>
        <w:tc>
          <w:tcPr>
            <w:tcW w:w="6936" w:type="dxa"/>
            <w:vAlign w:val="bottom"/>
          </w:tcPr>
          <w:p w14:paraId="1F5B0A32" w14:textId="77777777" w:rsidR="00717016" w:rsidRDefault="00FF3EDF" w:rsidP="00717016">
            <w:pPr>
              <w:pStyle w:val="SoSTryckortstext"/>
            </w:pPr>
            <w:r>
              <w:t>Denna publikation skyddas av upphovsrättslagen. Vid citat ska källan uppges. För att återge bilder, fotografier och illustrationer krävs upphovsmannens tillstånd.</w:t>
            </w:r>
            <w:r w:rsidR="00717016">
              <w:t xml:space="preserve"> </w:t>
            </w:r>
          </w:p>
          <w:p w14:paraId="02A2F583" w14:textId="77777777" w:rsidR="00717016" w:rsidRDefault="00717016" w:rsidP="00717016">
            <w:pPr>
              <w:pStyle w:val="SoSTryckortstext"/>
            </w:pPr>
          </w:p>
          <w:p w14:paraId="40B151CC" w14:textId="77777777" w:rsidR="00FF3EDF" w:rsidRDefault="00717016" w:rsidP="00717016">
            <w:pPr>
              <w:pStyle w:val="SoSTryckortstext"/>
            </w:pPr>
            <w:r>
              <w:t xml:space="preserve">Publikationen finns som </w:t>
            </w:r>
            <w:proofErr w:type="spellStart"/>
            <w:r>
              <w:t>pdf</w:t>
            </w:r>
            <w:proofErr w:type="spellEnd"/>
            <w:r>
              <w:t xml:space="preserve"> på Socialstyrelsens webbplats. Publikationen kan också </w:t>
            </w:r>
            <w:r>
              <w:br/>
              <w:t>tas fram i alternativt format på begäran. Frågor om alternativa format skickas till alternativaformat@socialstyrelsen.se</w:t>
            </w:r>
            <w:r w:rsidR="00FF3EDF">
              <w:t xml:space="preserve"> </w:t>
            </w:r>
            <w:r>
              <w:t xml:space="preserve"> </w:t>
            </w:r>
          </w:p>
          <w:p w14:paraId="6D9BC338" w14:textId="77777777" w:rsidR="00717016" w:rsidRDefault="00717016" w:rsidP="00FF3EDF">
            <w:pPr>
              <w:pStyle w:val="SoSTryckortstext"/>
            </w:pPr>
          </w:p>
          <w:p w14:paraId="0B9D3076" w14:textId="77777777" w:rsidR="00AC223B" w:rsidRDefault="00AC223B" w:rsidP="00AC223B">
            <w:pPr>
              <w:pStyle w:val="SoSTryckortstext"/>
            </w:pPr>
          </w:p>
          <w:p w14:paraId="2858CEC0" w14:textId="77777777" w:rsidR="00AC223B" w:rsidRDefault="00AC223B" w:rsidP="00661877">
            <w:pPr>
              <w:pStyle w:val="SoSTryckortstext"/>
            </w:pPr>
            <w:r>
              <w:t>ISBN</w:t>
            </w:r>
            <w:r>
              <w:tab/>
            </w:r>
            <w:r w:rsidR="00F126D3">
              <w:t>L</w:t>
            </w:r>
            <w:r w:rsidR="00CC0ADD">
              <w:t xml:space="preserve">äggs in i större rapporter som ska vara maximalt sökbara. </w:t>
            </w:r>
            <w:r w:rsidR="00564568">
              <w:t xml:space="preserve"> </w:t>
            </w:r>
            <w:r w:rsidR="00661877">
              <w:t xml:space="preserve">          </w:t>
            </w:r>
            <w:r w:rsidR="00661877">
              <w:br/>
              <w:t xml:space="preserve">                                Du får </w:t>
            </w:r>
            <w:r w:rsidR="00564568">
              <w:t>ISBN-numret</w:t>
            </w:r>
            <w:r w:rsidR="00F126D3">
              <w:t xml:space="preserve"> </w:t>
            </w:r>
            <w:r w:rsidR="00CC0ADD">
              <w:t>av produktionsledaren.</w:t>
            </w:r>
          </w:p>
          <w:p w14:paraId="720051D8" w14:textId="77777777" w:rsidR="00AC223B" w:rsidRDefault="00AC223B" w:rsidP="00564568">
            <w:pPr>
              <w:pStyle w:val="SoSTryckortstext"/>
            </w:pPr>
            <w:r>
              <w:t xml:space="preserve">Artikelnummer </w:t>
            </w:r>
            <w:r>
              <w:tab/>
            </w:r>
            <w:r w:rsidR="00CC0ADD">
              <w:t xml:space="preserve">Har de flesta rapporter. </w:t>
            </w:r>
            <w:r w:rsidR="00564568">
              <w:t>Du får artikelnumret</w:t>
            </w:r>
            <w:r w:rsidR="00CC0ADD">
              <w:t xml:space="preserve"> av produktionsledaren.</w:t>
            </w:r>
            <w:r>
              <w:t xml:space="preserve"> </w:t>
            </w:r>
          </w:p>
          <w:p w14:paraId="1150D138" w14:textId="77777777" w:rsidR="00AC223B" w:rsidRDefault="00AC223B" w:rsidP="00AC223B">
            <w:pPr>
              <w:pStyle w:val="SoSTryckortstext"/>
            </w:pPr>
          </w:p>
          <w:p w14:paraId="64770DA9" w14:textId="77777777" w:rsidR="00AC223B" w:rsidRDefault="00AC223B" w:rsidP="00CC0ADD">
            <w:pPr>
              <w:pStyle w:val="SoSTryckortstext"/>
            </w:pPr>
            <w:r>
              <w:t xml:space="preserve">Omslag </w:t>
            </w:r>
            <w:r>
              <w:tab/>
            </w:r>
            <w:r w:rsidR="00CC0ADD">
              <w:t>Om formgivet omslag</w:t>
            </w:r>
          </w:p>
          <w:p w14:paraId="4653EEB3" w14:textId="77777777" w:rsidR="00AC223B" w:rsidRDefault="00AC223B" w:rsidP="00CC0ADD">
            <w:pPr>
              <w:pStyle w:val="SoSTryckortstext"/>
            </w:pPr>
            <w:r>
              <w:t>Foto</w:t>
            </w:r>
            <w:r>
              <w:tab/>
            </w:r>
            <w:r w:rsidR="00CC0ADD">
              <w:t>Om det finns foton i rapporten</w:t>
            </w:r>
          </w:p>
          <w:p w14:paraId="1CF92EDB" w14:textId="77777777" w:rsidR="00AC223B" w:rsidRDefault="00AC223B" w:rsidP="00CC0ADD">
            <w:pPr>
              <w:pStyle w:val="SoSTryckortstext"/>
            </w:pPr>
            <w:r>
              <w:t>Sättning</w:t>
            </w:r>
            <w:r>
              <w:tab/>
            </w:r>
            <w:r w:rsidR="00CC0ADD">
              <w:t>Om sättning gjorts externt</w:t>
            </w:r>
          </w:p>
          <w:p w14:paraId="1E875BA1" w14:textId="77777777" w:rsidR="00AC223B" w:rsidRDefault="00AC223B" w:rsidP="00CC0ADD">
            <w:pPr>
              <w:pStyle w:val="SoSTryckortstext"/>
            </w:pPr>
            <w:r>
              <w:t>Tryck</w:t>
            </w:r>
            <w:r>
              <w:tab/>
            </w:r>
            <w:r w:rsidR="00CC0ADD">
              <w:t>Tryckeri, ort, månad årtal</w:t>
            </w:r>
            <w:r w:rsidR="00A92124">
              <w:t>,</w:t>
            </w:r>
            <w:r w:rsidR="00CC0ADD">
              <w:t xml:space="preserve"> alt. om den publicerats på webbplatsen</w:t>
            </w:r>
          </w:p>
        </w:tc>
      </w:tr>
    </w:tbl>
    <w:p w14:paraId="3EF47A61" w14:textId="77777777" w:rsidR="005D6B54" w:rsidRDefault="005D6B54" w:rsidP="005D6B54">
      <w:pPr>
        <w:pStyle w:val="SoSBrdtext"/>
      </w:pPr>
      <w:r>
        <w:br w:type="page"/>
      </w:r>
    </w:p>
    <w:p w14:paraId="4407B2FB" w14:textId="77777777" w:rsidR="00F67AC0" w:rsidRDefault="005D6B54" w:rsidP="002241A4">
      <w:pPr>
        <w:pStyle w:val="SoSRubrik1"/>
      </w:pPr>
      <w:bookmarkStart w:id="0" w:name="_Toc92730946"/>
      <w:r w:rsidRPr="005D6B54">
        <w:lastRenderedPageBreak/>
        <w:t>Förord</w:t>
      </w:r>
      <w:bookmarkEnd w:id="0"/>
    </w:p>
    <w:p w14:paraId="766A158E" w14:textId="77777777" w:rsidR="006A3BA7" w:rsidRDefault="006A3BA7" w:rsidP="006A3BA7">
      <w:pPr>
        <w:pStyle w:val="SoSBrdtextindragfrstaraden"/>
        <w:ind w:firstLine="0"/>
      </w:pPr>
      <w:r>
        <w:t xml:space="preserve">Socialstyrelsen har fått i uppdrag av Regeringen att ta fram en rapport om förutsättningarna för att skapa ett nationellt register över blodgivare samt en plan för hur blodverksamheterna ska kunna öka kapaciteten för att kunna svara upp mot de krav som kommer av den katastrofmedicinska beredskapen. </w:t>
      </w:r>
    </w:p>
    <w:p w14:paraId="5EC9E8A3" w14:textId="77777777" w:rsidR="006A3BA7" w:rsidRDefault="006A3BA7" w:rsidP="006A3BA7">
      <w:pPr>
        <w:pStyle w:val="SoSBrdtextindragfrstaraden"/>
      </w:pPr>
      <w:r>
        <w:t xml:space="preserve">Ett nationellt register över alla godkända blodgivare bör finnas enkelt tillgängligt för alla blodverksamheter, för att underlätta för blodgivare att kunna lämna blod i hela landet. Detta är särskilt värdefullt i fredstida kriser, vid höjd beredskap och vid krig eftersom människor ofta rör sig över regiongränser. </w:t>
      </w:r>
    </w:p>
    <w:p w14:paraId="02EE9F64" w14:textId="77777777" w:rsidR="006A3BA7" w:rsidRDefault="006A3BA7" w:rsidP="006A3BA7">
      <w:pPr>
        <w:pStyle w:val="SoSBrdtextindragfrstaraden"/>
      </w:pPr>
      <w:r>
        <w:t xml:space="preserve">Utgångspunkt i arbetet är propositionen Totalförsvaret 2021-2025 (prop.2020/21:30) och delbetänkandet Hälso-och sjukvård i det civila försvaret (SOU 2020:23). Enligt prop.2020/21:30 ska totalförsvaret dimensioneras för att kunna möta ett väpnat angrepp mot Sverige, och därför behöver det civila försvaret prioriteras och utvecklas. </w:t>
      </w:r>
    </w:p>
    <w:p w14:paraId="17658191" w14:textId="77777777" w:rsidR="006A3BA7" w:rsidRDefault="006A3BA7" w:rsidP="006A3BA7">
      <w:pPr>
        <w:pStyle w:val="SoSBrdtext"/>
      </w:pPr>
    </w:p>
    <w:p w14:paraId="2C286109" w14:textId="77777777" w:rsidR="006A3BA7" w:rsidRDefault="006A3BA7" w:rsidP="006A3BA7">
      <w:pPr>
        <w:pStyle w:val="SoSBrdtext"/>
      </w:pPr>
    </w:p>
    <w:p w14:paraId="241F5A15" w14:textId="77777777" w:rsidR="006A3BA7" w:rsidRDefault="006A3BA7" w:rsidP="006A3BA7">
      <w:pPr>
        <w:pStyle w:val="SoSBrdtext"/>
      </w:pPr>
      <w:r>
        <w:t>Namn</w:t>
      </w:r>
    </w:p>
    <w:p w14:paraId="61CF99DD" w14:textId="77777777" w:rsidR="006A3BA7" w:rsidRDefault="006A3BA7" w:rsidP="006A3BA7">
      <w:pPr>
        <w:pStyle w:val="SoSBrdtext"/>
      </w:pPr>
      <w:r>
        <w:t>Generaldirektör/Ställföreträdande generaldirektör/Avdelnings-chef/Enhetschef (med stor bokstav)</w:t>
      </w:r>
    </w:p>
    <w:p w14:paraId="744EA300" w14:textId="77777777" w:rsidR="006A3BA7" w:rsidRDefault="006A3BA7" w:rsidP="006A3BA7">
      <w:pPr>
        <w:pStyle w:val="SoSBrdtext"/>
      </w:pPr>
      <w:r>
        <w:t>Enhet/Avdelning (med stor bokstav)  </w:t>
      </w:r>
    </w:p>
    <w:p w14:paraId="07D0308A" w14:textId="77777777" w:rsidR="003272DE" w:rsidRDefault="003272DE" w:rsidP="00047338">
      <w:pPr>
        <w:pStyle w:val="SoSBrdtext"/>
      </w:pPr>
      <w:r>
        <w:br w:type="page"/>
      </w:r>
    </w:p>
    <w:p w14:paraId="58E2C339" w14:textId="77777777" w:rsidR="004221F1" w:rsidRDefault="0055395D" w:rsidP="0055395D">
      <w:pPr>
        <w:pStyle w:val="SoSBrdtext"/>
      </w:pPr>
      <w:r w:rsidRPr="0055395D">
        <w:lastRenderedPageBreak/>
        <w:t xml:space="preserve">Denna sida är oftast blank för att rapportens innehållsförteckning ska börja på en högersida. </w:t>
      </w:r>
      <w:proofErr w:type="gramStart"/>
      <w:r w:rsidRPr="0055395D">
        <w:t>Undantag</w:t>
      </w:r>
      <w:proofErr w:type="gramEnd"/>
      <w:r w:rsidRPr="0055395D">
        <w:t xml:space="preserve">: om rapporten är väldigt kort. </w:t>
      </w:r>
    </w:p>
    <w:p w14:paraId="0E68382D" w14:textId="77777777" w:rsidR="004221F1" w:rsidRPr="004221F1" w:rsidRDefault="004221F1" w:rsidP="004221F1">
      <w:pPr>
        <w:pStyle w:val="SoSBrdtextindragfrstaraden"/>
      </w:pPr>
    </w:p>
    <w:p w14:paraId="4F3FE15A" w14:textId="77777777" w:rsidR="004221F1" w:rsidRPr="004221F1" w:rsidRDefault="004221F1" w:rsidP="004221F1">
      <w:pPr>
        <w:pStyle w:val="SoSBrdtextindragfrstaraden"/>
      </w:pPr>
    </w:p>
    <w:p w14:paraId="60B50CB7" w14:textId="77777777" w:rsidR="004221F1" w:rsidRDefault="004221F1" w:rsidP="0055395D">
      <w:pPr>
        <w:pStyle w:val="SoSBrdtext"/>
      </w:pPr>
    </w:p>
    <w:p w14:paraId="1CB5AC36" w14:textId="77777777" w:rsidR="004221F1" w:rsidRPr="004221F1" w:rsidRDefault="004221F1" w:rsidP="004221F1">
      <w:pPr>
        <w:pStyle w:val="SoSBrdtextindragfrstaraden"/>
      </w:pPr>
    </w:p>
    <w:p w14:paraId="009C6465" w14:textId="77777777" w:rsidR="005D6B54" w:rsidRPr="0055395D" w:rsidRDefault="00F67AC0" w:rsidP="0055395D">
      <w:pPr>
        <w:pStyle w:val="SoSBrdtext"/>
      </w:pPr>
      <w:r w:rsidRPr="0055395D">
        <w:br w:type="page"/>
      </w:r>
    </w:p>
    <w:p w14:paraId="0AC422D4" w14:textId="77777777" w:rsidR="00802C52" w:rsidRDefault="00802C52" w:rsidP="00B67484">
      <w:pPr>
        <w:pStyle w:val="Innehllsfrteckningsrubrik"/>
      </w:pPr>
      <w:r>
        <w:lastRenderedPageBreak/>
        <w:t>Innehåll</w:t>
      </w:r>
      <w:r w:rsidR="00996B7C">
        <w:t xml:space="preserve"> </w:t>
      </w:r>
    </w:p>
    <w:p w14:paraId="2178D1F8" w14:textId="77777777" w:rsidR="00DE277D" w:rsidRDefault="00CA7765">
      <w:pPr>
        <w:pStyle w:val="Innehll1"/>
        <w:rPr>
          <w:rFonts w:eastAsiaTheme="minorEastAsia" w:cstheme="minorBidi"/>
          <w:color w:val="auto"/>
          <w:sz w:val="22"/>
          <w:szCs w:val="22"/>
        </w:rPr>
      </w:pPr>
      <w:r>
        <w:fldChar w:fldCharType="begin"/>
      </w:r>
      <w:r>
        <w:instrText xml:space="preserve"> TOC \h \z \t "SoS_Rubrik 1;1;SoS_Rubrik 2;2;SoS_Rubrik 3;3" </w:instrText>
      </w:r>
      <w:r>
        <w:fldChar w:fldCharType="separate"/>
      </w:r>
      <w:hyperlink w:anchor="_Toc92730946" w:history="1">
        <w:r w:rsidR="00DE277D" w:rsidRPr="0060730A">
          <w:rPr>
            <w:rStyle w:val="Hyperlnk"/>
          </w:rPr>
          <w:t>Förord</w:t>
        </w:r>
        <w:r w:rsidR="00DE277D">
          <w:rPr>
            <w:webHidden/>
          </w:rPr>
          <w:tab/>
        </w:r>
        <w:r w:rsidR="00DE277D">
          <w:rPr>
            <w:webHidden/>
          </w:rPr>
          <w:fldChar w:fldCharType="begin"/>
        </w:r>
        <w:r w:rsidR="00DE277D">
          <w:rPr>
            <w:webHidden/>
          </w:rPr>
          <w:instrText xml:space="preserve"> PAGEREF _Toc92730946 \h </w:instrText>
        </w:r>
        <w:r w:rsidR="00DE277D">
          <w:rPr>
            <w:webHidden/>
          </w:rPr>
        </w:r>
        <w:r w:rsidR="00DE277D">
          <w:rPr>
            <w:webHidden/>
          </w:rPr>
          <w:fldChar w:fldCharType="separate"/>
        </w:r>
        <w:r w:rsidR="00DE277D">
          <w:rPr>
            <w:webHidden/>
          </w:rPr>
          <w:t>3</w:t>
        </w:r>
        <w:r w:rsidR="00DE277D">
          <w:rPr>
            <w:webHidden/>
          </w:rPr>
          <w:fldChar w:fldCharType="end"/>
        </w:r>
      </w:hyperlink>
    </w:p>
    <w:p w14:paraId="331BE9DA" w14:textId="77777777" w:rsidR="00DE277D" w:rsidRDefault="001E5BB7">
      <w:pPr>
        <w:pStyle w:val="Innehll1"/>
        <w:rPr>
          <w:rFonts w:eastAsiaTheme="minorEastAsia" w:cstheme="minorBidi"/>
          <w:color w:val="auto"/>
          <w:sz w:val="22"/>
          <w:szCs w:val="22"/>
        </w:rPr>
      </w:pPr>
      <w:hyperlink w:anchor="_Toc92730947" w:history="1">
        <w:r w:rsidR="00DE277D" w:rsidRPr="0060730A">
          <w:rPr>
            <w:rStyle w:val="Hyperlnk"/>
          </w:rPr>
          <w:t>Sammanfattning</w:t>
        </w:r>
        <w:r w:rsidR="00DE277D">
          <w:rPr>
            <w:webHidden/>
          </w:rPr>
          <w:tab/>
        </w:r>
        <w:r w:rsidR="00DE277D">
          <w:rPr>
            <w:webHidden/>
          </w:rPr>
          <w:fldChar w:fldCharType="begin"/>
        </w:r>
        <w:r w:rsidR="00DE277D">
          <w:rPr>
            <w:webHidden/>
          </w:rPr>
          <w:instrText xml:space="preserve"> PAGEREF _Toc92730947 \h </w:instrText>
        </w:r>
        <w:r w:rsidR="00DE277D">
          <w:rPr>
            <w:webHidden/>
          </w:rPr>
        </w:r>
        <w:r w:rsidR="00DE277D">
          <w:rPr>
            <w:webHidden/>
          </w:rPr>
          <w:fldChar w:fldCharType="separate"/>
        </w:r>
        <w:r w:rsidR="00DE277D">
          <w:rPr>
            <w:webHidden/>
          </w:rPr>
          <w:t>8</w:t>
        </w:r>
        <w:r w:rsidR="00DE277D">
          <w:rPr>
            <w:webHidden/>
          </w:rPr>
          <w:fldChar w:fldCharType="end"/>
        </w:r>
      </w:hyperlink>
    </w:p>
    <w:p w14:paraId="50E72EB7" w14:textId="77777777" w:rsidR="00DE277D" w:rsidRDefault="001E5BB7">
      <w:pPr>
        <w:pStyle w:val="Innehll2"/>
        <w:rPr>
          <w:rFonts w:eastAsiaTheme="minorEastAsia" w:cstheme="minorBidi"/>
          <w:color w:val="auto"/>
          <w:sz w:val="22"/>
          <w:szCs w:val="22"/>
        </w:rPr>
      </w:pPr>
      <w:hyperlink w:anchor="_Toc92730948" w:history="1">
        <w:r w:rsidR="00DE277D" w:rsidRPr="0060730A">
          <w:rPr>
            <w:rStyle w:val="Hyperlnk"/>
          </w:rPr>
          <w:t>Uppdragsbeskrivning</w:t>
        </w:r>
        <w:r w:rsidR="00DE277D">
          <w:rPr>
            <w:webHidden/>
          </w:rPr>
          <w:tab/>
        </w:r>
        <w:r w:rsidR="00DE277D">
          <w:rPr>
            <w:webHidden/>
          </w:rPr>
          <w:fldChar w:fldCharType="begin"/>
        </w:r>
        <w:r w:rsidR="00DE277D">
          <w:rPr>
            <w:webHidden/>
          </w:rPr>
          <w:instrText xml:space="preserve"> PAGEREF _Toc92730948 \h </w:instrText>
        </w:r>
        <w:r w:rsidR="00DE277D">
          <w:rPr>
            <w:webHidden/>
          </w:rPr>
        </w:r>
        <w:r w:rsidR="00DE277D">
          <w:rPr>
            <w:webHidden/>
          </w:rPr>
          <w:fldChar w:fldCharType="separate"/>
        </w:r>
        <w:r w:rsidR="00DE277D">
          <w:rPr>
            <w:webHidden/>
          </w:rPr>
          <w:t>9</w:t>
        </w:r>
        <w:r w:rsidR="00DE277D">
          <w:rPr>
            <w:webHidden/>
          </w:rPr>
          <w:fldChar w:fldCharType="end"/>
        </w:r>
      </w:hyperlink>
    </w:p>
    <w:p w14:paraId="4FF814DC" w14:textId="77777777" w:rsidR="00DE277D" w:rsidRDefault="001E5BB7">
      <w:pPr>
        <w:pStyle w:val="Innehll2"/>
        <w:rPr>
          <w:rFonts w:eastAsiaTheme="minorEastAsia" w:cstheme="minorBidi"/>
          <w:color w:val="auto"/>
          <w:sz w:val="22"/>
          <w:szCs w:val="22"/>
        </w:rPr>
      </w:pPr>
      <w:hyperlink w:anchor="_Toc92730949" w:history="1">
        <w:r w:rsidR="00DE277D" w:rsidRPr="0060730A">
          <w:rPr>
            <w:rStyle w:val="Hyperlnk"/>
          </w:rPr>
          <w:t>Omfattning och avgränsningar</w:t>
        </w:r>
        <w:r w:rsidR="00DE277D">
          <w:rPr>
            <w:webHidden/>
          </w:rPr>
          <w:tab/>
        </w:r>
        <w:r w:rsidR="00DE277D">
          <w:rPr>
            <w:webHidden/>
          </w:rPr>
          <w:fldChar w:fldCharType="begin"/>
        </w:r>
        <w:r w:rsidR="00DE277D">
          <w:rPr>
            <w:webHidden/>
          </w:rPr>
          <w:instrText xml:space="preserve"> PAGEREF _Toc92730949 \h </w:instrText>
        </w:r>
        <w:r w:rsidR="00DE277D">
          <w:rPr>
            <w:webHidden/>
          </w:rPr>
        </w:r>
        <w:r w:rsidR="00DE277D">
          <w:rPr>
            <w:webHidden/>
          </w:rPr>
          <w:fldChar w:fldCharType="separate"/>
        </w:r>
        <w:r w:rsidR="00DE277D">
          <w:rPr>
            <w:webHidden/>
          </w:rPr>
          <w:t>9</w:t>
        </w:r>
        <w:r w:rsidR="00DE277D">
          <w:rPr>
            <w:webHidden/>
          </w:rPr>
          <w:fldChar w:fldCharType="end"/>
        </w:r>
      </w:hyperlink>
    </w:p>
    <w:p w14:paraId="7B450D24" w14:textId="77777777" w:rsidR="00DE277D" w:rsidRDefault="001E5BB7">
      <w:pPr>
        <w:pStyle w:val="Innehll3"/>
        <w:rPr>
          <w:rFonts w:eastAsiaTheme="minorEastAsia" w:cstheme="minorBidi"/>
          <w:color w:val="auto"/>
          <w:sz w:val="22"/>
          <w:szCs w:val="22"/>
        </w:rPr>
      </w:pPr>
      <w:hyperlink w:anchor="_Toc92730950" w:history="1">
        <w:r w:rsidR="00DE277D" w:rsidRPr="0060730A">
          <w:rPr>
            <w:rStyle w:val="Hyperlnk"/>
          </w:rPr>
          <w:t>Avgränsningar</w:t>
        </w:r>
        <w:r w:rsidR="00DE277D">
          <w:rPr>
            <w:webHidden/>
          </w:rPr>
          <w:tab/>
        </w:r>
        <w:r w:rsidR="00DE277D">
          <w:rPr>
            <w:webHidden/>
          </w:rPr>
          <w:fldChar w:fldCharType="begin"/>
        </w:r>
        <w:r w:rsidR="00DE277D">
          <w:rPr>
            <w:webHidden/>
          </w:rPr>
          <w:instrText xml:space="preserve"> PAGEREF _Toc92730950 \h </w:instrText>
        </w:r>
        <w:r w:rsidR="00DE277D">
          <w:rPr>
            <w:webHidden/>
          </w:rPr>
        </w:r>
        <w:r w:rsidR="00DE277D">
          <w:rPr>
            <w:webHidden/>
          </w:rPr>
          <w:fldChar w:fldCharType="separate"/>
        </w:r>
        <w:r w:rsidR="00DE277D">
          <w:rPr>
            <w:webHidden/>
          </w:rPr>
          <w:t>9</w:t>
        </w:r>
        <w:r w:rsidR="00DE277D">
          <w:rPr>
            <w:webHidden/>
          </w:rPr>
          <w:fldChar w:fldCharType="end"/>
        </w:r>
      </w:hyperlink>
    </w:p>
    <w:p w14:paraId="23161A63" w14:textId="77777777" w:rsidR="00DE277D" w:rsidRDefault="001E5BB7">
      <w:pPr>
        <w:pStyle w:val="Innehll2"/>
        <w:rPr>
          <w:rFonts w:eastAsiaTheme="minorEastAsia" w:cstheme="minorBidi"/>
          <w:color w:val="auto"/>
          <w:sz w:val="22"/>
          <w:szCs w:val="22"/>
        </w:rPr>
      </w:pPr>
      <w:hyperlink w:anchor="_Toc92730951" w:history="1">
        <w:r w:rsidR="00DE277D" w:rsidRPr="0060730A">
          <w:rPr>
            <w:rStyle w:val="Hyperlnk"/>
          </w:rPr>
          <w:t>Nuläge</w:t>
        </w:r>
        <w:r w:rsidR="00DE277D">
          <w:rPr>
            <w:webHidden/>
          </w:rPr>
          <w:tab/>
        </w:r>
        <w:r w:rsidR="00DE277D">
          <w:rPr>
            <w:webHidden/>
          </w:rPr>
          <w:fldChar w:fldCharType="begin"/>
        </w:r>
        <w:r w:rsidR="00DE277D">
          <w:rPr>
            <w:webHidden/>
          </w:rPr>
          <w:instrText xml:space="preserve"> PAGEREF _Toc92730951 \h </w:instrText>
        </w:r>
        <w:r w:rsidR="00DE277D">
          <w:rPr>
            <w:webHidden/>
          </w:rPr>
        </w:r>
        <w:r w:rsidR="00DE277D">
          <w:rPr>
            <w:webHidden/>
          </w:rPr>
          <w:fldChar w:fldCharType="separate"/>
        </w:r>
        <w:r w:rsidR="00DE277D">
          <w:rPr>
            <w:webHidden/>
          </w:rPr>
          <w:t>10</w:t>
        </w:r>
        <w:r w:rsidR="00DE277D">
          <w:rPr>
            <w:webHidden/>
          </w:rPr>
          <w:fldChar w:fldCharType="end"/>
        </w:r>
      </w:hyperlink>
    </w:p>
    <w:p w14:paraId="21FF08A1" w14:textId="77777777" w:rsidR="00DE277D" w:rsidRDefault="001E5BB7">
      <w:pPr>
        <w:pStyle w:val="Innehll3"/>
        <w:rPr>
          <w:rFonts w:eastAsiaTheme="minorEastAsia" w:cstheme="minorBidi"/>
          <w:color w:val="auto"/>
          <w:sz w:val="22"/>
          <w:szCs w:val="22"/>
        </w:rPr>
      </w:pPr>
      <w:hyperlink w:anchor="_Toc92730952" w:history="1">
        <w:r w:rsidR="00DE277D" w:rsidRPr="0060730A">
          <w:rPr>
            <w:rStyle w:val="Hyperlnk"/>
          </w:rPr>
          <w:t>Ojämn tillgång till blodgivare över landet</w:t>
        </w:r>
        <w:r w:rsidR="00DE277D">
          <w:rPr>
            <w:webHidden/>
          </w:rPr>
          <w:tab/>
        </w:r>
        <w:r w:rsidR="00DE277D">
          <w:rPr>
            <w:webHidden/>
          </w:rPr>
          <w:fldChar w:fldCharType="begin"/>
        </w:r>
        <w:r w:rsidR="00DE277D">
          <w:rPr>
            <w:webHidden/>
          </w:rPr>
          <w:instrText xml:space="preserve"> PAGEREF _Toc92730952 \h </w:instrText>
        </w:r>
        <w:r w:rsidR="00DE277D">
          <w:rPr>
            <w:webHidden/>
          </w:rPr>
        </w:r>
        <w:r w:rsidR="00DE277D">
          <w:rPr>
            <w:webHidden/>
          </w:rPr>
          <w:fldChar w:fldCharType="separate"/>
        </w:r>
        <w:r w:rsidR="00DE277D">
          <w:rPr>
            <w:webHidden/>
          </w:rPr>
          <w:t>10</w:t>
        </w:r>
        <w:r w:rsidR="00DE277D">
          <w:rPr>
            <w:webHidden/>
          </w:rPr>
          <w:fldChar w:fldCharType="end"/>
        </w:r>
      </w:hyperlink>
    </w:p>
    <w:p w14:paraId="4FFAD8F6" w14:textId="67596CBD" w:rsidR="00DE277D" w:rsidRDefault="006D7B49">
      <w:pPr>
        <w:pStyle w:val="Innehll1"/>
        <w:rPr>
          <w:rFonts w:eastAsiaTheme="minorEastAsia" w:cstheme="minorBidi"/>
          <w:color w:val="auto"/>
          <w:sz w:val="22"/>
          <w:szCs w:val="22"/>
        </w:rPr>
      </w:pPr>
      <w:r>
        <w:t xml:space="preserve">En </w:t>
      </w:r>
      <w:hyperlink w:anchor="_Toc92730953" w:history="1">
        <w:r>
          <w:rPr>
            <w:rStyle w:val="Hyperlnk"/>
          </w:rPr>
          <w:t>plan för hur blodverksamheterna ska kunna öka kapaciteten</w:t>
        </w:r>
        <w:r w:rsidR="00DE277D">
          <w:rPr>
            <w:webHidden/>
          </w:rPr>
          <w:tab/>
        </w:r>
        <w:r w:rsidR="00DE277D">
          <w:rPr>
            <w:webHidden/>
          </w:rPr>
          <w:fldChar w:fldCharType="begin"/>
        </w:r>
        <w:r w:rsidR="00DE277D">
          <w:rPr>
            <w:webHidden/>
          </w:rPr>
          <w:instrText xml:space="preserve"> PAGEREF _Toc92730953 \h </w:instrText>
        </w:r>
        <w:r w:rsidR="00DE277D">
          <w:rPr>
            <w:webHidden/>
          </w:rPr>
        </w:r>
        <w:r w:rsidR="00DE277D">
          <w:rPr>
            <w:webHidden/>
          </w:rPr>
          <w:fldChar w:fldCharType="separate"/>
        </w:r>
        <w:r w:rsidR="00DE277D">
          <w:rPr>
            <w:webHidden/>
          </w:rPr>
          <w:t>12</w:t>
        </w:r>
        <w:r w:rsidR="00DE277D">
          <w:rPr>
            <w:webHidden/>
          </w:rPr>
          <w:fldChar w:fldCharType="end"/>
        </w:r>
      </w:hyperlink>
    </w:p>
    <w:p w14:paraId="6562325A" w14:textId="77777777" w:rsidR="00DE277D" w:rsidRDefault="001E5BB7">
      <w:pPr>
        <w:pStyle w:val="Innehll2"/>
        <w:rPr>
          <w:rFonts w:eastAsiaTheme="minorEastAsia" w:cstheme="minorBidi"/>
          <w:color w:val="auto"/>
          <w:sz w:val="22"/>
          <w:szCs w:val="22"/>
        </w:rPr>
      </w:pPr>
      <w:hyperlink w:anchor="_Toc92730954" w:history="1">
        <w:r w:rsidR="00DE277D" w:rsidRPr="0060730A">
          <w:rPr>
            <w:rStyle w:val="Hyperlnk"/>
          </w:rPr>
          <w:t>Centraliserad blodverksamhet</w:t>
        </w:r>
        <w:r w:rsidR="00DE277D">
          <w:rPr>
            <w:webHidden/>
          </w:rPr>
          <w:tab/>
        </w:r>
        <w:r w:rsidR="00DE277D">
          <w:rPr>
            <w:webHidden/>
          </w:rPr>
          <w:fldChar w:fldCharType="begin"/>
        </w:r>
        <w:r w:rsidR="00DE277D">
          <w:rPr>
            <w:webHidden/>
          </w:rPr>
          <w:instrText xml:space="preserve"> PAGEREF _Toc92730954 \h </w:instrText>
        </w:r>
        <w:r w:rsidR="00DE277D">
          <w:rPr>
            <w:webHidden/>
          </w:rPr>
        </w:r>
        <w:r w:rsidR="00DE277D">
          <w:rPr>
            <w:webHidden/>
          </w:rPr>
          <w:fldChar w:fldCharType="separate"/>
        </w:r>
        <w:r w:rsidR="00DE277D">
          <w:rPr>
            <w:webHidden/>
          </w:rPr>
          <w:t>12</w:t>
        </w:r>
        <w:r w:rsidR="00DE277D">
          <w:rPr>
            <w:webHidden/>
          </w:rPr>
          <w:fldChar w:fldCharType="end"/>
        </w:r>
      </w:hyperlink>
    </w:p>
    <w:p w14:paraId="03329080" w14:textId="77777777" w:rsidR="00DE277D" w:rsidRDefault="001E5BB7">
      <w:pPr>
        <w:pStyle w:val="Innehll3"/>
        <w:rPr>
          <w:rFonts w:eastAsiaTheme="minorEastAsia" w:cstheme="minorBidi"/>
          <w:color w:val="auto"/>
          <w:sz w:val="22"/>
          <w:szCs w:val="22"/>
        </w:rPr>
      </w:pPr>
      <w:hyperlink w:anchor="_Toc92730955" w:history="1">
        <w:r w:rsidR="00DE277D" w:rsidRPr="0060730A">
          <w:rPr>
            <w:rStyle w:val="Hyperlnk"/>
          </w:rPr>
          <w:t>Införande av Nucleic Acid Test (NAT-test) för screening av blodgivare</w:t>
        </w:r>
        <w:r w:rsidR="00DE277D">
          <w:rPr>
            <w:webHidden/>
          </w:rPr>
          <w:tab/>
        </w:r>
        <w:r w:rsidR="00DE277D">
          <w:rPr>
            <w:webHidden/>
          </w:rPr>
          <w:fldChar w:fldCharType="begin"/>
        </w:r>
        <w:r w:rsidR="00DE277D">
          <w:rPr>
            <w:webHidden/>
          </w:rPr>
          <w:instrText xml:space="preserve"> PAGEREF _Toc92730955 \h </w:instrText>
        </w:r>
        <w:r w:rsidR="00DE277D">
          <w:rPr>
            <w:webHidden/>
          </w:rPr>
        </w:r>
        <w:r w:rsidR="00DE277D">
          <w:rPr>
            <w:webHidden/>
          </w:rPr>
          <w:fldChar w:fldCharType="separate"/>
        </w:r>
        <w:r w:rsidR="00DE277D">
          <w:rPr>
            <w:webHidden/>
          </w:rPr>
          <w:t>13</w:t>
        </w:r>
        <w:r w:rsidR="00DE277D">
          <w:rPr>
            <w:webHidden/>
          </w:rPr>
          <w:fldChar w:fldCharType="end"/>
        </w:r>
      </w:hyperlink>
    </w:p>
    <w:p w14:paraId="45DE1DE5" w14:textId="77777777" w:rsidR="00DE277D" w:rsidRDefault="001E5BB7">
      <w:pPr>
        <w:pStyle w:val="Innehll3"/>
        <w:rPr>
          <w:rFonts w:eastAsiaTheme="minorEastAsia" w:cstheme="minorBidi"/>
          <w:color w:val="auto"/>
          <w:sz w:val="22"/>
          <w:szCs w:val="22"/>
        </w:rPr>
      </w:pPr>
      <w:hyperlink w:anchor="_Toc92730956" w:history="1">
        <w:r w:rsidR="00DE277D" w:rsidRPr="0060730A">
          <w:rPr>
            <w:rStyle w:val="Hyperlnk"/>
          </w:rPr>
          <w:t>Utöka plasmagivningen samt inhemsk produktion av frystorkad plasma och frysta trombocyter</w:t>
        </w:r>
        <w:r w:rsidR="00DE277D">
          <w:rPr>
            <w:webHidden/>
          </w:rPr>
          <w:tab/>
        </w:r>
        <w:r w:rsidR="00DE277D">
          <w:rPr>
            <w:webHidden/>
          </w:rPr>
          <w:fldChar w:fldCharType="begin"/>
        </w:r>
        <w:r w:rsidR="00DE277D">
          <w:rPr>
            <w:webHidden/>
          </w:rPr>
          <w:instrText xml:space="preserve"> PAGEREF _Toc92730956 \h </w:instrText>
        </w:r>
        <w:r w:rsidR="00DE277D">
          <w:rPr>
            <w:webHidden/>
          </w:rPr>
        </w:r>
        <w:r w:rsidR="00DE277D">
          <w:rPr>
            <w:webHidden/>
          </w:rPr>
          <w:fldChar w:fldCharType="separate"/>
        </w:r>
        <w:r w:rsidR="00DE277D">
          <w:rPr>
            <w:webHidden/>
          </w:rPr>
          <w:t>13</w:t>
        </w:r>
        <w:r w:rsidR="00DE277D">
          <w:rPr>
            <w:webHidden/>
          </w:rPr>
          <w:fldChar w:fldCharType="end"/>
        </w:r>
      </w:hyperlink>
    </w:p>
    <w:p w14:paraId="752DB827" w14:textId="77777777" w:rsidR="00DE277D" w:rsidRDefault="001E5BB7">
      <w:pPr>
        <w:pStyle w:val="Innehll3"/>
        <w:rPr>
          <w:rFonts w:eastAsiaTheme="minorEastAsia" w:cstheme="minorBidi"/>
          <w:color w:val="auto"/>
          <w:sz w:val="22"/>
          <w:szCs w:val="22"/>
        </w:rPr>
      </w:pPr>
      <w:hyperlink w:anchor="_Toc92730957" w:history="1">
        <w:r w:rsidR="00DE277D" w:rsidRPr="0060730A">
          <w:rPr>
            <w:rStyle w:val="Hyperlnk"/>
          </w:rPr>
          <w:t>Riktad informationskampanj/underlätta för blodgivare</w:t>
        </w:r>
        <w:r w:rsidR="00DE277D">
          <w:rPr>
            <w:webHidden/>
          </w:rPr>
          <w:tab/>
        </w:r>
        <w:r w:rsidR="00DE277D">
          <w:rPr>
            <w:webHidden/>
          </w:rPr>
          <w:fldChar w:fldCharType="begin"/>
        </w:r>
        <w:r w:rsidR="00DE277D">
          <w:rPr>
            <w:webHidden/>
          </w:rPr>
          <w:instrText xml:space="preserve"> PAGEREF _Toc92730957 \h </w:instrText>
        </w:r>
        <w:r w:rsidR="00DE277D">
          <w:rPr>
            <w:webHidden/>
          </w:rPr>
        </w:r>
        <w:r w:rsidR="00DE277D">
          <w:rPr>
            <w:webHidden/>
          </w:rPr>
          <w:fldChar w:fldCharType="separate"/>
        </w:r>
        <w:r w:rsidR="00DE277D">
          <w:rPr>
            <w:webHidden/>
          </w:rPr>
          <w:t>14</w:t>
        </w:r>
        <w:r w:rsidR="00DE277D">
          <w:rPr>
            <w:webHidden/>
          </w:rPr>
          <w:fldChar w:fldCharType="end"/>
        </w:r>
      </w:hyperlink>
    </w:p>
    <w:p w14:paraId="75FE9877" w14:textId="77777777" w:rsidR="00DE277D" w:rsidRDefault="001E5BB7">
      <w:pPr>
        <w:pStyle w:val="Innehll3"/>
        <w:rPr>
          <w:rFonts w:eastAsiaTheme="minorEastAsia" w:cstheme="minorBidi"/>
          <w:color w:val="auto"/>
          <w:sz w:val="22"/>
          <w:szCs w:val="22"/>
        </w:rPr>
      </w:pPr>
      <w:hyperlink w:anchor="_Toc92730958" w:history="1">
        <w:r w:rsidR="00DE277D" w:rsidRPr="0060730A">
          <w:rPr>
            <w:rStyle w:val="Hyperlnk"/>
          </w:rPr>
          <w:t>Blodgivare med andra modersmål än svenska</w:t>
        </w:r>
        <w:r w:rsidR="00DE277D">
          <w:rPr>
            <w:webHidden/>
          </w:rPr>
          <w:tab/>
        </w:r>
        <w:r w:rsidR="00DE277D">
          <w:rPr>
            <w:webHidden/>
          </w:rPr>
          <w:fldChar w:fldCharType="begin"/>
        </w:r>
        <w:r w:rsidR="00DE277D">
          <w:rPr>
            <w:webHidden/>
          </w:rPr>
          <w:instrText xml:space="preserve"> PAGEREF _Toc92730958 \h </w:instrText>
        </w:r>
        <w:r w:rsidR="00DE277D">
          <w:rPr>
            <w:webHidden/>
          </w:rPr>
        </w:r>
        <w:r w:rsidR="00DE277D">
          <w:rPr>
            <w:webHidden/>
          </w:rPr>
          <w:fldChar w:fldCharType="separate"/>
        </w:r>
        <w:r w:rsidR="00DE277D">
          <w:rPr>
            <w:webHidden/>
          </w:rPr>
          <w:t>15</w:t>
        </w:r>
        <w:r w:rsidR="00DE277D">
          <w:rPr>
            <w:webHidden/>
          </w:rPr>
          <w:fldChar w:fldCharType="end"/>
        </w:r>
      </w:hyperlink>
    </w:p>
    <w:p w14:paraId="432C0770" w14:textId="77777777" w:rsidR="00DE277D" w:rsidRDefault="001E5BB7">
      <w:pPr>
        <w:pStyle w:val="Innehll3"/>
        <w:rPr>
          <w:rFonts w:eastAsiaTheme="minorEastAsia" w:cstheme="minorBidi"/>
          <w:color w:val="auto"/>
          <w:sz w:val="22"/>
          <w:szCs w:val="22"/>
        </w:rPr>
      </w:pPr>
      <w:hyperlink w:anchor="_Toc92730959" w:history="1">
        <w:r w:rsidR="00DE277D" w:rsidRPr="0060730A">
          <w:rPr>
            <w:rStyle w:val="Hyperlnk"/>
          </w:rPr>
          <w:t>Översyn av karensregler</w:t>
        </w:r>
        <w:r w:rsidR="00DE277D">
          <w:rPr>
            <w:webHidden/>
          </w:rPr>
          <w:tab/>
        </w:r>
        <w:r w:rsidR="00DE277D">
          <w:rPr>
            <w:webHidden/>
          </w:rPr>
          <w:fldChar w:fldCharType="begin"/>
        </w:r>
        <w:r w:rsidR="00DE277D">
          <w:rPr>
            <w:webHidden/>
          </w:rPr>
          <w:instrText xml:space="preserve"> PAGEREF _Toc92730959 \h </w:instrText>
        </w:r>
        <w:r w:rsidR="00DE277D">
          <w:rPr>
            <w:webHidden/>
          </w:rPr>
        </w:r>
        <w:r w:rsidR="00DE277D">
          <w:rPr>
            <w:webHidden/>
          </w:rPr>
          <w:fldChar w:fldCharType="separate"/>
        </w:r>
        <w:r w:rsidR="00DE277D">
          <w:rPr>
            <w:webHidden/>
          </w:rPr>
          <w:t>15</w:t>
        </w:r>
        <w:r w:rsidR="00DE277D">
          <w:rPr>
            <w:webHidden/>
          </w:rPr>
          <w:fldChar w:fldCharType="end"/>
        </w:r>
      </w:hyperlink>
    </w:p>
    <w:p w14:paraId="0B26376C" w14:textId="77777777" w:rsidR="00DE277D" w:rsidRDefault="001E5BB7">
      <w:pPr>
        <w:pStyle w:val="Innehll1"/>
        <w:rPr>
          <w:rFonts w:eastAsiaTheme="minorEastAsia" w:cstheme="minorBidi"/>
          <w:color w:val="auto"/>
          <w:sz w:val="22"/>
          <w:szCs w:val="22"/>
        </w:rPr>
      </w:pPr>
      <w:hyperlink w:anchor="_Toc92730960" w:history="1">
        <w:r w:rsidR="00DE277D" w:rsidRPr="0060730A">
          <w:rPr>
            <w:rStyle w:val="Hyperlnk"/>
          </w:rPr>
          <w:t>Förutsättningar för ett nationellt blodgivarregister</w:t>
        </w:r>
        <w:r w:rsidR="00DE277D">
          <w:rPr>
            <w:webHidden/>
          </w:rPr>
          <w:tab/>
        </w:r>
        <w:r w:rsidR="00DE277D">
          <w:rPr>
            <w:webHidden/>
          </w:rPr>
          <w:fldChar w:fldCharType="begin"/>
        </w:r>
        <w:r w:rsidR="00DE277D">
          <w:rPr>
            <w:webHidden/>
          </w:rPr>
          <w:instrText xml:space="preserve"> PAGEREF _Toc92730960 \h </w:instrText>
        </w:r>
        <w:r w:rsidR="00DE277D">
          <w:rPr>
            <w:webHidden/>
          </w:rPr>
        </w:r>
        <w:r w:rsidR="00DE277D">
          <w:rPr>
            <w:webHidden/>
          </w:rPr>
          <w:fldChar w:fldCharType="separate"/>
        </w:r>
        <w:r w:rsidR="00DE277D">
          <w:rPr>
            <w:webHidden/>
          </w:rPr>
          <w:t>16</w:t>
        </w:r>
        <w:r w:rsidR="00DE277D">
          <w:rPr>
            <w:webHidden/>
          </w:rPr>
          <w:fldChar w:fldCharType="end"/>
        </w:r>
      </w:hyperlink>
    </w:p>
    <w:p w14:paraId="5428D4A5" w14:textId="77777777" w:rsidR="00DE277D" w:rsidRDefault="001E5BB7">
      <w:pPr>
        <w:pStyle w:val="Innehll2"/>
        <w:rPr>
          <w:rFonts w:eastAsiaTheme="minorEastAsia" w:cstheme="minorBidi"/>
          <w:color w:val="auto"/>
          <w:sz w:val="22"/>
          <w:szCs w:val="22"/>
        </w:rPr>
      </w:pPr>
      <w:hyperlink w:anchor="_Toc92730961" w:history="1">
        <w:r w:rsidR="00DE277D" w:rsidRPr="0060730A">
          <w:rPr>
            <w:rStyle w:val="Hyperlnk"/>
          </w:rPr>
          <w:t>Bakgrund</w:t>
        </w:r>
        <w:r w:rsidR="00DE277D">
          <w:rPr>
            <w:webHidden/>
          </w:rPr>
          <w:tab/>
        </w:r>
        <w:r w:rsidR="00DE277D">
          <w:rPr>
            <w:webHidden/>
          </w:rPr>
          <w:fldChar w:fldCharType="begin"/>
        </w:r>
        <w:r w:rsidR="00DE277D">
          <w:rPr>
            <w:webHidden/>
          </w:rPr>
          <w:instrText xml:space="preserve"> PAGEREF _Toc92730961 \h </w:instrText>
        </w:r>
        <w:r w:rsidR="00DE277D">
          <w:rPr>
            <w:webHidden/>
          </w:rPr>
        </w:r>
        <w:r w:rsidR="00DE277D">
          <w:rPr>
            <w:webHidden/>
          </w:rPr>
          <w:fldChar w:fldCharType="separate"/>
        </w:r>
        <w:r w:rsidR="00DE277D">
          <w:rPr>
            <w:webHidden/>
          </w:rPr>
          <w:t>16</w:t>
        </w:r>
        <w:r w:rsidR="00DE277D">
          <w:rPr>
            <w:webHidden/>
          </w:rPr>
          <w:fldChar w:fldCharType="end"/>
        </w:r>
      </w:hyperlink>
    </w:p>
    <w:p w14:paraId="3D729070" w14:textId="77777777" w:rsidR="00DE277D" w:rsidRDefault="001E5BB7">
      <w:pPr>
        <w:pStyle w:val="Innehll3"/>
        <w:rPr>
          <w:rFonts w:eastAsiaTheme="minorEastAsia" w:cstheme="minorBidi"/>
          <w:color w:val="auto"/>
          <w:sz w:val="22"/>
          <w:szCs w:val="22"/>
        </w:rPr>
      </w:pPr>
      <w:hyperlink w:anchor="_Toc92730962" w:history="1">
        <w:r w:rsidR="00DE277D" w:rsidRPr="0060730A">
          <w:rPr>
            <w:rStyle w:val="Hyperlnk"/>
          </w:rPr>
          <w:t>Gästblodgivning</w:t>
        </w:r>
        <w:r w:rsidR="00DE277D">
          <w:rPr>
            <w:webHidden/>
          </w:rPr>
          <w:tab/>
        </w:r>
        <w:r w:rsidR="00DE277D">
          <w:rPr>
            <w:webHidden/>
          </w:rPr>
          <w:fldChar w:fldCharType="begin"/>
        </w:r>
        <w:r w:rsidR="00DE277D">
          <w:rPr>
            <w:webHidden/>
          </w:rPr>
          <w:instrText xml:space="preserve"> PAGEREF _Toc92730962 \h </w:instrText>
        </w:r>
        <w:r w:rsidR="00DE277D">
          <w:rPr>
            <w:webHidden/>
          </w:rPr>
        </w:r>
        <w:r w:rsidR="00DE277D">
          <w:rPr>
            <w:webHidden/>
          </w:rPr>
          <w:fldChar w:fldCharType="separate"/>
        </w:r>
        <w:r w:rsidR="00DE277D">
          <w:rPr>
            <w:webHidden/>
          </w:rPr>
          <w:t>16</w:t>
        </w:r>
        <w:r w:rsidR="00DE277D">
          <w:rPr>
            <w:webHidden/>
          </w:rPr>
          <w:fldChar w:fldCharType="end"/>
        </w:r>
      </w:hyperlink>
    </w:p>
    <w:p w14:paraId="6F1BF200" w14:textId="77777777" w:rsidR="00DE277D" w:rsidRDefault="001E5BB7">
      <w:pPr>
        <w:pStyle w:val="Innehll3"/>
        <w:rPr>
          <w:rFonts w:eastAsiaTheme="minorEastAsia" w:cstheme="minorBidi"/>
          <w:color w:val="auto"/>
          <w:sz w:val="22"/>
          <w:szCs w:val="22"/>
        </w:rPr>
      </w:pPr>
      <w:hyperlink w:anchor="_Toc92730963" w:history="1">
        <w:r w:rsidR="00DE277D" w:rsidRPr="0060730A">
          <w:rPr>
            <w:rStyle w:val="Hyperlnk"/>
          </w:rPr>
          <w:t>Blodverksamheternas behov av ett gemensamt system</w:t>
        </w:r>
        <w:r w:rsidR="00DE277D">
          <w:rPr>
            <w:webHidden/>
          </w:rPr>
          <w:tab/>
        </w:r>
        <w:r w:rsidR="00DE277D">
          <w:rPr>
            <w:webHidden/>
          </w:rPr>
          <w:fldChar w:fldCharType="begin"/>
        </w:r>
        <w:r w:rsidR="00DE277D">
          <w:rPr>
            <w:webHidden/>
          </w:rPr>
          <w:instrText xml:space="preserve"> PAGEREF _Toc92730963 \h </w:instrText>
        </w:r>
        <w:r w:rsidR="00DE277D">
          <w:rPr>
            <w:webHidden/>
          </w:rPr>
        </w:r>
        <w:r w:rsidR="00DE277D">
          <w:rPr>
            <w:webHidden/>
          </w:rPr>
          <w:fldChar w:fldCharType="separate"/>
        </w:r>
        <w:r w:rsidR="00DE277D">
          <w:rPr>
            <w:webHidden/>
          </w:rPr>
          <w:t>18</w:t>
        </w:r>
        <w:r w:rsidR="00DE277D">
          <w:rPr>
            <w:webHidden/>
          </w:rPr>
          <w:fldChar w:fldCharType="end"/>
        </w:r>
      </w:hyperlink>
    </w:p>
    <w:p w14:paraId="1E1FD79F" w14:textId="77777777" w:rsidR="00DE277D" w:rsidRDefault="001E5BB7">
      <w:pPr>
        <w:pStyle w:val="Innehll2"/>
        <w:rPr>
          <w:rFonts w:eastAsiaTheme="minorEastAsia" w:cstheme="minorBidi"/>
          <w:color w:val="auto"/>
          <w:sz w:val="22"/>
          <w:szCs w:val="22"/>
        </w:rPr>
      </w:pPr>
      <w:hyperlink w:anchor="_Toc92730964" w:history="1">
        <w:r w:rsidR="00DE277D" w:rsidRPr="0060730A">
          <w:rPr>
            <w:rStyle w:val="Hyperlnk"/>
          </w:rPr>
          <w:t>Gällande rätt</w:t>
        </w:r>
        <w:r w:rsidR="00DE277D">
          <w:rPr>
            <w:webHidden/>
          </w:rPr>
          <w:tab/>
        </w:r>
        <w:r w:rsidR="00DE277D">
          <w:rPr>
            <w:webHidden/>
          </w:rPr>
          <w:fldChar w:fldCharType="begin"/>
        </w:r>
        <w:r w:rsidR="00DE277D">
          <w:rPr>
            <w:webHidden/>
          </w:rPr>
          <w:instrText xml:space="preserve"> PAGEREF _Toc92730964 \h </w:instrText>
        </w:r>
        <w:r w:rsidR="00DE277D">
          <w:rPr>
            <w:webHidden/>
          </w:rPr>
        </w:r>
        <w:r w:rsidR="00DE277D">
          <w:rPr>
            <w:webHidden/>
          </w:rPr>
          <w:fldChar w:fldCharType="separate"/>
        </w:r>
        <w:r w:rsidR="00DE277D">
          <w:rPr>
            <w:webHidden/>
          </w:rPr>
          <w:t>18</w:t>
        </w:r>
        <w:r w:rsidR="00DE277D">
          <w:rPr>
            <w:webHidden/>
          </w:rPr>
          <w:fldChar w:fldCharType="end"/>
        </w:r>
      </w:hyperlink>
    </w:p>
    <w:p w14:paraId="469FBEB6" w14:textId="77777777" w:rsidR="00DE277D" w:rsidRDefault="001E5BB7">
      <w:pPr>
        <w:pStyle w:val="Innehll3"/>
        <w:rPr>
          <w:rFonts w:eastAsiaTheme="minorEastAsia" w:cstheme="minorBidi"/>
          <w:color w:val="auto"/>
          <w:sz w:val="22"/>
          <w:szCs w:val="22"/>
        </w:rPr>
      </w:pPr>
      <w:hyperlink w:anchor="_Toc92730965" w:history="1">
        <w:r w:rsidR="00DE277D" w:rsidRPr="0060730A">
          <w:rPr>
            <w:rStyle w:val="Hyperlnk"/>
          </w:rPr>
          <w:t>Inledning</w:t>
        </w:r>
        <w:r w:rsidR="00DE277D">
          <w:rPr>
            <w:webHidden/>
          </w:rPr>
          <w:tab/>
        </w:r>
        <w:r w:rsidR="00DE277D">
          <w:rPr>
            <w:webHidden/>
          </w:rPr>
          <w:fldChar w:fldCharType="begin"/>
        </w:r>
        <w:r w:rsidR="00DE277D">
          <w:rPr>
            <w:webHidden/>
          </w:rPr>
          <w:instrText xml:space="preserve"> PAGEREF _Toc92730965 \h </w:instrText>
        </w:r>
        <w:r w:rsidR="00DE277D">
          <w:rPr>
            <w:webHidden/>
          </w:rPr>
        </w:r>
        <w:r w:rsidR="00DE277D">
          <w:rPr>
            <w:webHidden/>
          </w:rPr>
          <w:fldChar w:fldCharType="separate"/>
        </w:r>
        <w:r w:rsidR="00DE277D">
          <w:rPr>
            <w:webHidden/>
          </w:rPr>
          <w:t>18</w:t>
        </w:r>
        <w:r w:rsidR="00DE277D">
          <w:rPr>
            <w:webHidden/>
          </w:rPr>
          <w:fldChar w:fldCharType="end"/>
        </w:r>
      </w:hyperlink>
    </w:p>
    <w:p w14:paraId="79641EAF" w14:textId="77777777" w:rsidR="00DE277D" w:rsidRDefault="001E5BB7">
      <w:pPr>
        <w:pStyle w:val="Innehll3"/>
        <w:rPr>
          <w:rFonts w:eastAsiaTheme="minorEastAsia" w:cstheme="minorBidi"/>
          <w:color w:val="auto"/>
          <w:sz w:val="22"/>
          <w:szCs w:val="22"/>
        </w:rPr>
      </w:pPr>
      <w:hyperlink w:anchor="_Toc92730966" w:history="1">
        <w:r w:rsidR="00DE277D" w:rsidRPr="0060730A">
          <w:rPr>
            <w:rStyle w:val="Hyperlnk"/>
          </w:rPr>
          <w:t>Lagen om blodsäkerhet och förordningen om blodsäkerhet</w:t>
        </w:r>
        <w:r w:rsidR="00DE277D">
          <w:rPr>
            <w:webHidden/>
          </w:rPr>
          <w:tab/>
        </w:r>
        <w:r w:rsidR="00DE277D">
          <w:rPr>
            <w:webHidden/>
          </w:rPr>
          <w:fldChar w:fldCharType="begin"/>
        </w:r>
        <w:r w:rsidR="00DE277D">
          <w:rPr>
            <w:webHidden/>
          </w:rPr>
          <w:instrText xml:space="preserve"> PAGEREF _Toc92730966 \h </w:instrText>
        </w:r>
        <w:r w:rsidR="00DE277D">
          <w:rPr>
            <w:webHidden/>
          </w:rPr>
        </w:r>
        <w:r w:rsidR="00DE277D">
          <w:rPr>
            <w:webHidden/>
          </w:rPr>
          <w:fldChar w:fldCharType="separate"/>
        </w:r>
        <w:r w:rsidR="00DE277D">
          <w:rPr>
            <w:webHidden/>
          </w:rPr>
          <w:t>19</w:t>
        </w:r>
        <w:r w:rsidR="00DE277D">
          <w:rPr>
            <w:webHidden/>
          </w:rPr>
          <w:fldChar w:fldCharType="end"/>
        </w:r>
      </w:hyperlink>
    </w:p>
    <w:p w14:paraId="10FA2639" w14:textId="77777777" w:rsidR="00DE277D" w:rsidRDefault="001E5BB7">
      <w:pPr>
        <w:pStyle w:val="Innehll2"/>
        <w:rPr>
          <w:rFonts w:eastAsiaTheme="minorEastAsia" w:cstheme="minorBidi"/>
          <w:color w:val="auto"/>
          <w:sz w:val="22"/>
          <w:szCs w:val="22"/>
        </w:rPr>
      </w:pPr>
      <w:hyperlink w:anchor="_Toc92730967" w:history="1">
        <w:r w:rsidR="00DE277D" w:rsidRPr="0060730A">
          <w:rPr>
            <w:rStyle w:val="Hyperlnk"/>
          </w:rPr>
          <w:t>Sekretess och tystnadsplikt</w:t>
        </w:r>
        <w:r w:rsidR="00DE277D">
          <w:rPr>
            <w:webHidden/>
          </w:rPr>
          <w:tab/>
        </w:r>
        <w:r w:rsidR="00DE277D">
          <w:rPr>
            <w:webHidden/>
          </w:rPr>
          <w:fldChar w:fldCharType="begin"/>
        </w:r>
        <w:r w:rsidR="00DE277D">
          <w:rPr>
            <w:webHidden/>
          </w:rPr>
          <w:instrText xml:space="preserve"> PAGEREF _Toc92730967 \h </w:instrText>
        </w:r>
        <w:r w:rsidR="00DE277D">
          <w:rPr>
            <w:webHidden/>
          </w:rPr>
        </w:r>
        <w:r w:rsidR="00DE277D">
          <w:rPr>
            <w:webHidden/>
          </w:rPr>
          <w:fldChar w:fldCharType="separate"/>
        </w:r>
        <w:r w:rsidR="00DE277D">
          <w:rPr>
            <w:webHidden/>
          </w:rPr>
          <w:t>23</w:t>
        </w:r>
        <w:r w:rsidR="00DE277D">
          <w:rPr>
            <w:webHidden/>
          </w:rPr>
          <w:fldChar w:fldCharType="end"/>
        </w:r>
      </w:hyperlink>
    </w:p>
    <w:p w14:paraId="67991BEA" w14:textId="77777777" w:rsidR="00DE277D" w:rsidRDefault="001E5BB7">
      <w:pPr>
        <w:pStyle w:val="Innehll3"/>
        <w:rPr>
          <w:rFonts w:eastAsiaTheme="minorEastAsia" w:cstheme="minorBidi"/>
          <w:color w:val="auto"/>
          <w:sz w:val="22"/>
          <w:szCs w:val="22"/>
        </w:rPr>
      </w:pPr>
      <w:hyperlink w:anchor="_Toc92730968" w:history="1">
        <w:r w:rsidR="00DE277D" w:rsidRPr="0060730A">
          <w:rPr>
            <w:rStyle w:val="Hyperlnk"/>
          </w:rPr>
          <w:t>Offentlig verksamhet</w:t>
        </w:r>
        <w:r w:rsidR="00DE277D">
          <w:rPr>
            <w:webHidden/>
          </w:rPr>
          <w:tab/>
        </w:r>
        <w:r w:rsidR="00DE277D">
          <w:rPr>
            <w:webHidden/>
          </w:rPr>
          <w:fldChar w:fldCharType="begin"/>
        </w:r>
        <w:r w:rsidR="00DE277D">
          <w:rPr>
            <w:webHidden/>
          </w:rPr>
          <w:instrText xml:space="preserve"> PAGEREF _Toc92730968 \h </w:instrText>
        </w:r>
        <w:r w:rsidR="00DE277D">
          <w:rPr>
            <w:webHidden/>
          </w:rPr>
        </w:r>
        <w:r w:rsidR="00DE277D">
          <w:rPr>
            <w:webHidden/>
          </w:rPr>
          <w:fldChar w:fldCharType="separate"/>
        </w:r>
        <w:r w:rsidR="00DE277D">
          <w:rPr>
            <w:webHidden/>
          </w:rPr>
          <w:t>23</w:t>
        </w:r>
        <w:r w:rsidR="00DE277D">
          <w:rPr>
            <w:webHidden/>
          </w:rPr>
          <w:fldChar w:fldCharType="end"/>
        </w:r>
      </w:hyperlink>
    </w:p>
    <w:p w14:paraId="77D0DD96" w14:textId="77777777" w:rsidR="00DE277D" w:rsidRDefault="001E5BB7">
      <w:pPr>
        <w:pStyle w:val="Innehll3"/>
        <w:rPr>
          <w:rFonts w:eastAsiaTheme="minorEastAsia" w:cstheme="minorBidi"/>
          <w:color w:val="auto"/>
          <w:sz w:val="22"/>
          <w:szCs w:val="22"/>
        </w:rPr>
      </w:pPr>
      <w:hyperlink w:anchor="_Toc92730969" w:history="1">
        <w:r w:rsidR="00DE277D" w:rsidRPr="0060730A">
          <w:rPr>
            <w:rStyle w:val="Hyperlnk"/>
          </w:rPr>
          <w:t>Privat verksamhet</w:t>
        </w:r>
        <w:r w:rsidR="00DE277D">
          <w:rPr>
            <w:webHidden/>
          </w:rPr>
          <w:tab/>
        </w:r>
        <w:r w:rsidR="00DE277D">
          <w:rPr>
            <w:webHidden/>
          </w:rPr>
          <w:fldChar w:fldCharType="begin"/>
        </w:r>
        <w:r w:rsidR="00DE277D">
          <w:rPr>
            <w:webHidden/>
          </w:rPr>
          <w:instrText xml:space="preserve"> PAGEREF _Toc92730969 \h </w:instrText>
        </w:r>
        <w:r w:rsidR="00DE277D">
          <w:rPr>
            <w:webHidden/>
          </w:rPr>
        </w:r>
        <w:r w:rsidR="00DE277D">
          <w:rPr>
            <w:webHidden/>
          </w:rPr>
          <w:fldChar w:fldCharType="separate"/>
        </w:r>
        <w:r w:rsidR="00DE277D">
          <w:rPr>
            <w:webHidden/>
          </w:rPr>
          <w:t>24</w:t>
        </w:r>
        <w:r w:rsidR="00DE277D">
          <w:rPr>
            <w:webHidden/>
          </w:rPr>
          <w:fldChar w:fldCharType="end"/>
        </w:r>
      </w:hyperlink>
    </w:p>
    <w:p w14:paraId="22D1ADD1" w14:textId="77777777" w:rsidR="00DE277D" w:rsidRDefault="001E5BB7">
      <w:pPr>
        <w:pStyle w:val="Innehll1"/>
        <w:rPr>
          <w:rFonts w:eastAsiaTheme="minorEastAsia" w:cstheme="minorBidi"/>
          <w:color w:val="auto"/>
          <w:sz w:val="22"/>
          <w:szCs w:val="22"/>
        </w:rPr>
      </w:pPr>
      <w:hyperlink w:anchor="_Toc92730970" w:history="1">
        <w:r w:rsidR="00DE277D" w:rsidRPr="0060730A">
          <w:rPr>
            <w:rStyle w:val="Hyperlnk"/>
          </w:rPr>
          <w:t>Överväganden och förslag</w:t>
        </w:r>
        <w:r w:rsidR="00DE277D">
          <w:rPr>
            <w:webHidden/>
          </w:rPr>
          <w:tab/>
        </w:r>
        <w:r w:rsidR="00DE277D">
          <w:rPr>
            <w:webHidden/>
          </w:rPr>
          <w:fldChar w:fldCharType="begin"/>
        </w:r>
        <w:r w:rsidR="00DE277D">
          <w:rPr>
            <w:webHidden/>
          </w:rPr>
          <w:instrText xml:space="preserve"> PAGEREF _Toc92730970 \h </w:instrText>
        </w:r>
        <w:r w:rsidR="00DE277D">
          <w:rPr>
            <w:webHidden/>
          </w:rPr>
        </w:r>
        <w:r w:rsidR="00DE277D">
          <w:rPr>
            <w:webHidden/>
          </w:rPr>
          <w:fldChar w:fldCharType="separate"/>
        </w:r>
        <w:r w:rsidR="00DE277D">
          <w:rPr>
            <w:webHidden/>
          </w:rPr>
          <w:t>25</w:t>
        </w:r>
        <w:r w:rsidR="00DE277D">
          <w:rPr>
            <w:webHidden/>
          </w:rPr>
          <w:fldChar w:fldCharType="end"/>
        </w:r>
      </w:hyperlink>
    </w:p>
    <w:p w14:paraId="6105FB2C" w14:textId="77777777" w:rsidR="00DE277D" w:rsidRDefault="001E5BB7">
      <w:pPr>
        <w:pStyle w:val="Innehll2"/>
        <w:rPr>
          <w:rFonts w:eastAsiaTheme="minorEastAsia" w:cstheme="minorBidi"/>
          <w:color w:val="auto"/>
          <w:sz w:val="22"/>
          <w:szCs w:val="22"/>
        </w:rPr>
      </w:pPr>
      <w:hyperlink w:anchor="_Toc92730971" w:history="1">
        <w:r w:rsidR="00DE277D" w:rsidRPr="0060730A">
          <w:rPr>
            <w:rStyle w:val="Hyperlnk"/>
          </w:rPr>
          <w:t>Förutsättningar för ett nytt nationellt register över godkända blodgivare</w:t>
        </w:r>
        <w:r w:rsidR="00DE277D">
          <w:rPr>
            <w:webHidden/>
          </w:rPr>
          <w:tab/>
        </w:r>
        <w:r w:rsidR="00DE277D">
          <w:rPr>
            <w:webHidden/>
          </w:rPr>
          <w:fldChar w:fldCharType="begin"/>
        </w:r>
        <w:r w:rsidR="00DE277D">
          <w:rPr>
            <w:webHidden/>
          </w:rPr>
          <w:instrText xml:space="preserve"> PAGEREF _Toc92730971 \h </w:instrText>
        </w:r>
        <w:r w:rsidR="00DE277D">
          <w:rPr>
            <w:webHidden/>
          </w:rPr>
        </w:r>
        <w:r w:rsidR="00DE277D">
          <w:rPr>
            <w:webHidden/>
          </w:rPr>
          <w:fldChar w:fldCharType="separate"/>
        </w:r>
        <w:r w:rsidR="00DE277D">
          <w:rPr>
            <w:webHidden/>
          </w:rPr>
          <w:t>25</w:t>
        </w:r>
        <w:r w:rsidR="00DE277D">
          <w:rPr>
            <w:webHidden/>
          </w:rPr>
          <w:fldChar w:fldCharType="end"/>
        </w:r>
      </w:hyperlink>
    </w:p>
    <w:p w14:paraId="3D81B56E" w14:textId="77777777" w:rsidR="00DE277D" w:rsidRDefault="001E5BB7">
      <w:pPr>
        <w:pStyle w:val="Innehll3"/>
        <w:rPr>
          <w:rFonts w:eastAsiaTheme="minorEastAsia" w:cstheme="minorBidi"/>
          <w:color w:val="auto"/>
          <w:sz w:val="22"/>
          <w:szCs w:val="22"/>
        </w:rPr>
      </w:pPr>
      <w:hyperlink w:anchor="_Toc92730972" w:history="1">
        <w:r w:rsidR="00DE277D" w:rsidRPr="0060730A">
          <w:rPr>
            <w:rStyle w:val="Hyperlnk"/>
          </w:rPr>
          <w:t>Behov av ett nationellt register</w:t>
        </w:r>
        <w:r w:rsidR="00DE277D">
          <w:rPr>
            <w:webHidden/>
          </w:rPr>
          <w:tab/>
        </w:r>
        <w:r w:rsidR="00DE277D">
          <w:rPr>
            <w:webHidden/>
          </w:rPr>
          <w:fldChar w:fldCharType="begin"/>
        </w:r>
        <w:r w:rsidR="00DE277D">
          <w:rPr>
            <w:webHidden/>
          </w:rPr>
          <w:instrText xml:space="preserve"> PAGEREF _Toc92730972 \h </w:instrText>
        </w:r>
        <w:r w:rsidR="00DE277D">
          <w:rPr>
            <w:webHidden/>
          </w:rPr>
        </w:r>
        <w:r w:rsidR="00DE277D">
          <w:rPr>
            <w:webHidden/>
          </w:rPr>
          <w:fldChar w:fldCharType="separate"/>
        </w:r>
        <w:r w:rsidR="00DE277D">
          <w:rPr>
            <w:webHidden/>
          </w:rPr>
          <w:t>25</w:t>
        </w:r>
        <w:r w:rsidR="00DE277D">
          <w:rPr>
            <w:webHidden/>
          </w:rPr>
          <w:fldChar w:fldCharType="end"/>
        </w:r>
      </w:hyperlink>
    </w:p>
    <w:p w14:paraId="341A0CC3" w14:textId="77777777" w:rsidR="00DE277D" w:rsidRDefault="001E5BB7">
      <w:pPr>
        <w:pStyle w:val="Innehll3"/>
        <w:rPr>
          <w:rFonts w:eastAsiaTheme="minorEastAsia" w:cstheme="minorBidi"/>
          <w:color w:val="auto"/>
          <w:sz w:val="22"/>
          <w:szCs w:val="22"/>
        </w:rPr>
      </w:pPr>
      <w:hyperlink w:anchor="_Toc92730973" w:history="1">
        <w:r w:rsidR="00DE277D" w:rsidRPr="0060730A">
          <w:rPr>
            <w:rStyle w:val="Hyperlnk"/>
          </w:rPr>
          <w:t>En särskild reglering</w:t>
        </w:r>
        <w:r w:rsidR="00DE277D">
          <w:rPr>
            <w:webHidden/>
          </w:rPr>
          <w:tab/>
        </w:r>
        <w:r w:rsidR="00DE277D">
          <w:rPr>
            <w:webHidden/>
          </w:rPr>
          <w:fldChar w:fldCharType="begin"/>
        </w:r>
        <w:r w:rsidR="00DE277D">
          <w:rPr>
            <w:webHidden/>
          </w:rPr>
          <w:instrText xml:space="preserve"> PAGEREF _Toc92730973 \h </w:instrText>
        </w:r>
        <w:r w:rsidR="00DE277D">
          <w:rPr>
            <w:webHidden/>
          </w:rPr>
        </w:r>
        <w:r w:rsidR="00DE277D">
          <w:rPr>
            <w:webHidden/>
          </w:rPr>
          <w:fldChar w:fldCharType="separate"/>
        </w:r>
        <w:r w:rsidR="00DE277D">
          <w:rPr>
            <w:webHidden/>
          </w:rPr>
          <w:t>25</w:t>
        </w:r>
        <w:r w:rsidR="00DE277D">
          <w:rPr>
            <w:webHidden/>
          </w:rPr>
          <w:fldChar w:fldCharType="end"/>
        </w:r>
      </w:hyperlink>
    </w:p>
    <w:p w14:paraId="66685979" w14:textId="77777777" w:rsidR="00DE277D" w:rsidRDefault="001E5BB7">
      <w:pPr>
        <w:pStyle w:val="Innehll3"/>
        <w:rPr>
          <w:rFonts w:eastAsiaTheme="minorEastAsia" w:cstheme="minorBidi"/>
          <w:color w:val="auto"/>
          <w:sz w:val="22"/>
          <w:szCs w:val="22"/>
        </w:rPr>
      </w:pPr>
      <w:hyperlink w:anchor="_Toc92730974" w:history="1">
        <w:r w:rsidR="00DE277D" w:rsidRPr="0060730A">
          <w:rPr>
            <w:rStyle w:val="Hyperlnk"/>
          </w:rPr>
          <w:t>Registerhållare och personuppgiftsansvarig för registret</w:t>
        </w:r>
        <w:r w:rsidR="00DE277D">
          <w:rPr>
            <w:webHidden/>
          </w:rPr>
          <w:tab/>
        </w:r>
        <w:r w:rsidR="00DE277D">
          <w:rPr>
            <w:webHidden/>
          </w:rPr>
          <w:fldChar w:fldCharType="begin"/>
        </w:r>
        <w:r w:rsidR="00DE277D">
          <w:rPr>
            <w:webHidden/>
          </w:rPr>
          <w:instrText xml:space="preserve"> PAGEREF _Toc92730974 \h </w:instrText>
        </w:r>
        <w:r w:rsidR="00DE277D">
          <w:rPr>
            <w:webHidden/>
          </w:rPr>
        </w:r>
        <w:r w:rsidR="00DE277D">
          <w:rPr>
            <w:webHidden/>
          </w:rPr>
          <w:fldChar w:fldCharType="separate"/>
        </w:r>
        <w:r w:rsidR="00DE277D">
          <w:rPr>
            <w:webHidden/>
          </w:rPr>
          <w:t>27</w:t>
        </w:r>
        <w:r w:rsidR="00DE277D">
          <w:rPr>
            <w:webHidden/>
          </w:rPr>
          <w:fldChar w:fldCharType="end"/>
        </w:r>
      </w:hyperlink>
    </w:p>
    <w:p w14:paraId="4C3D5F7B" w14:textId="77777777" w:rsidR="00DE277D" w:rsidRDefault="001E5BB7">
      <w:pPr>
        <w:pStyle w:val="Innehll3"/>
        <w:rPr>
          <w:rFonts w:eastAsiaTheme="minorEastAsia" w:cstheme="minorBidi"/>
          <w:color w:val="auto"/>
          <w:sz w:val="22"/>
          <w:szCs w:val="22"/>
        </w:rPr>
      </w:pPr>
      <w:hyperlink w:anchor="_Toc92730975" w:history="1">
        <w:r w:rsidR="00DE277D" w:rsidRPr="0060730A">
          <w:rPr>
            <w:rStyle w:val="Hyperlnk"/>
          </w:rPr>
          <w:t>Ändamål och innehåll i registret</w:t>
        </w:r>
        <w:r w:rsidR="00DE277D">
          <w:rPr>
            <w:webHidden/>
          </w:rPr>
          <w:tab/>
        </w:r>
        <w:r w:rsidR="00DE277D">
          <w:rPr>
            <w:webHidden/>
          </w:rPr>
          <w:fldChar w:fldCharType="begin"/>
        </w:r>
        <w:r w:rsidR="00DE277D">
          <w:rPr>
            <w:webHidden/>
          </w:rPr>
          <w:instrText xml:space="preserve"> PAGEREF _Toc92730975 \h </w:instrText>
        </w:r>
        <w:r w:rsidR="00DE277D">
          <w:rPr>
            <w:webHidden/>
          </w:rPr>
        </w:r>
        <w:r w:rsidR="00DE277D">
          <w:rPr>
            <w:webHidden/>
          </w:rPr>
          <w:fldChar w:fldCharType="separate"/>
        </w:r>
        <w:r w:rsidR="00DE277D">
          <w:rPr>
            <w:webHidden/>
          </w:rPr>
          <w:t>27</w:t>
        </w:r>
        <w:r w:rsidR="00DE277D">
          <w:rPr>
            <w:webHidden/>
          </w:rPr>
          <w:fldChar w:fldCharType="end"/>
        </w:r>
      </w:hyperlink>
    </w:p>
    <w:p w14:paraId="6984DA6E" w14:textId="77777777" w:rsidR="00DE277D" w:rsidRDefault="001E5BB7">
      <w:pPr>
        <w:pStyle w:val="Innehll3"/>
        <w:rPr>
          <w:rFonts w:eastAsiaTheme="minorEastAsia" w:cstheme="minorBidi"/>
          <w:color w:val="auto"/>
          <w:sz w:val="22"/>
          <w:szCs w:val="22"/>
        </w:rPr>
      </w:pPr>
      <w:hyperlink w:anchor="_Toc92730976" w:history="1">
        <w:r w:rsidR="00DE277D" w:rsidRPr="0060730A">
          <w:rPr>
            <w:rStyle w:val="Hyperlnk"/>
          </w:rPr>
          <w:t>Blodgivarens inställning till personuppgiftsbehandlingen och uppgiftsskyldighet för blodverksamheter</w:t>
        </w:r>
        <w:r w:rsidR="00DE277D">
          <w:rPr>
            <w:webHidden/>
          </w:rPr>
          <w:tab/>
        </w:r>
        <w:r w:rsidR="00DE277D">
          <w:rPr>
            <w:webHidden/>
          </w:rPr>
          <w:fldChar w:fldCharType="begin"/>
        </w:r>
        <w:r w:rsidR="00DE277D">
          <w:rPr>
            <w:webHidden/>
          </w:rPr>
          <w:instrText xml:space="preserve"> PAGEREF _Toc92730976 \h </w:instrText>
        </w:r>
        <w:r w:rsidR="00DE277D">
          <w:rPr>
            <w:webHidden/>
          </w:rPr>
        </w:r>
        <w:r w:rsidR="00DE277D">
          <w:rPr>
            <w:webHidden/>
          </w:rPr>
          <w:fldChar w:fldCharType="separate"/>
        </w:r>
        <w:r w:rsidR="00DE277D">
          <w:rPr>
            <w:webHidden/>
          </w:rPr>
          <w:t>28</w:t>
        </w:r>
        <w:r w:rsidR="00DE277D">
          <w:rPr>
            <w:webHidden/>
          </w:rPr>
          <w:fldChar w:fldCharType="end"/>
        </w:r>
      </w:hyperlink>
    </w:p>
    <w:p w14:paraId="28BCAB9E" w14:textId="77777777" w:rsidR="00DE277D" w:rsidRDefault="001E5BB7">
      <w:pPr>
        <w:pStyle w:val="Innehll3"/>
        <w:rPr>
          <w:rFonts w:eastAsiaTheme="minorEastAsia" w:cstheme="minorBidi"/>
          <w:color w:val="auto"/>
          <w:sz w:val="22"/>
          <w:szCs w:val="22"/>
        </w:rPr>
      </w:pPr>
      <w:hyperlink w:anchor="_Toc92730977" w:history="1">
        <w:r w:rsidR="00DE277D" w:rsidRPr="0060730A">
          <w:rPr>
            <w:rStyle w:val="Hyperlnk"/>
          </w:rPr>
          <w:t>Sekretess och åtkomst för uppgifterna i registret</w:t>
        </w:r>
        <w:r w:rsidR="00DE277D">
          <w:rPr>
            <w:webHidden/>
          </w:rPr>
          <w:tab/>
        </w:r>
        <w:r w:rsidR="00DE277D">
          <w:rPr>
            <w:webHidden/>
          </w:rPr>
          <w:fldChar w:fldCharType="begin"/>
        </w:r>
        <w:r w:rsidR="00DE277D">
          <w:rPr>
            <w:webHidden/>
          </w:rPr>
          <w:instrText xml:space="preserve"> PAGEREF _Toc92730977 \h </w:instrText>
        </w:r>
        <w:r w:rsidR="00DE277D">
          <w:rPr>
            <w:webHidden/>
          </w:rPr>
        </w:r>
        <w:r w:rsidR="00DE277D">
          <w:rPr>
            <w:webHidden/>
          </w:rPr>
          <w:fldChar w:fldCharType="separate"/>
        </w:r>
        <w:r w:rsidR="00DE277D">
          <w:rPr>
            <w:webHidden/>
          </w:rPr>
          <w:t>28</w:t>
        </w:r>
        <w:r w:rsidR="00DE277D">
          <w:rPr>
            <w:webHidden/>
          </w:rPr>
          <w:fldChar w:fldCharType="end"/>
        </w:r>
      </w:hyperlink>
    </w:p>
    <w:p w14:paraId="69109753" w14:textId="77777777" w:rsidR="00DE277D" w:rsidRDefault="001E5BB7">
      <w:pPr>
        <w:pStyle w:val="Innehll3"/>
        <w:rPr>
          <w:rFonts w:eastAsiaTheme="minorEastAsia" w:cstheme="minorBidi"/>
          <w:color w:val="auto"/>
          <w:sz w:val="22"/>
          <w:szCs w:val="22"/>
        </w:rPr>
      </w:pPr>
      <w:hyperlink w:anchor="_Toc92730978" w:history="1">
        <w:r w:rsidR="00DE277D" w:rsidRPr="0060730A">
          <w:rPr>
            <w:rStyle w:val="Hyperlnk"/>
          </w:rPr>
          <w:t>Övriga frågor</w:t>
        </w:r>
        <w:r w:rsidR="00DE277D">
          <w:rPr>
            <w:webHidden/>
          </w:rPr>
          <w:tab/>
        </w:r>
        <w:r w:rsidR="00DE277D">
          <w:rPr>
            <w:webHidden/>
          </w:rPr>
          <w:fldChar w:fldCharType="begin"/>
        </w:r>
        <w:r w:rsidR="00DE277D">
          <w:rPr>
            <w:webHidden/>
          </w:rPr>
          <w:instrText xml:space="preserve"> PAGEREF _Toc92730978 \h </w:instrText>
        </w:r>
        <w:r w:rsidR="00DE277D">
          <w:rPr>
            <w:webHidden/>
          </w:rPr>
        </w:r>
        <w:r w:rsidR="00DE277D">
          <w:rPr>
            <w:webHidden/>
          </w:rPr>
          <w:fldChar w:fldCharType="separate"/>
        </w:r>
        <w:r w:rsidR="00DE277D">
          <w:rPr>
            <w:webHidden/>
          </w:rPr>
          <w:t>29</w:t>
        </w:r>
        <w:r w:rsidR="00DE277D">
          <w:rPr>
            <w:webHidden/>
          </w:rPr>
          <w:fldChar w:fldCharType="end"/>
        </w:r>
      </w:hyperlink>
    </w:p>
    <w:p w14:paraId="3C8A3D92" w14:textId="77777777" w:rsidR="00DE277D" w:rsidRDefault="001E5BB7">
      <w:pPr>
        <w:pStyle w:val="Innehll2"/>
        <w:rPr>
          <w:rFonts w:eastAsiaTheme="minorEastAsia" w:cstheme="minorBidi"/>
          <w:color w:val="auto"/>
          <w:sz w:val="22"/>
          <w:szCs w:val="22"/>
        </w:rPr>
      </w:pPr>
      <w:hyperlink w:anchor="_Toc92730979" w:history="1">
        <w:r w:rsidR="00DE277D" w:rsidRPr="0060730A">
          <w:rPr>
            <w:rStyle w:val="Hyperlnk"/>
          </w:rPr>
          <w:t>Alternativ lösning utifrån befintliga register över godkända blodgivare</w:t>
        </w:r>
        <w:r w:rsidR="00DE277D">
          <w:rPr>
            <w:webHidden/>
          </w:rPr>
          <w:tab/>
        </w:r>
        <w:r w:rsidR="00DE277D">
          <w:rPr>
            <w:webHidden/>
          </w:rPr>
          <w:fldChar w:fldCharType="begin"/>
        </w:r>
        <w:r w:rsidR="00DE277D">
          <w:rPr>
            <w:webHidden/>
          </w:rPr>
          <w:instrText xml:space="preserve"> PAGEREF _Toc92730979 \h </w:instrText>
        </w:r>
        <w:r w:rsidR="00DE277D">
          <w:rPr>
            <w:webHidden/>
          </w:rPr>
        </w:r>
        <w:r w:rsidR="00DE277D">
          <w:rPr>
            <w:webHidden/>
          </w:rPr>
          <w:fldChar w:fldCharType="separate"/>
        </w:r>
        <w:r w:rsidR="00DE277D">
          <w:rPr>
            <w:webHidden/>
          </w:rPr>
          <w:t>29</w:t>
        </w:r>
        <w:r w:rsidR="00DE277D">
          <w:rPr>
            <w:webHidden/>
          </w:rPr>
          <w:fldChar w:fldCharType="end"/>
        </w:r>
      </w:hyperlink>
    </w:p>
    <w:p w14:paraId="1E68CB87" w14:textId="122AEA41" w:rsidR="00DE277D" w:rsidRDefault="00DE277D">
      <w:pPr>
        <w:pStyle w:val="Innehll3"/>
        <w:rPr>
          <w:rFonts w:eastAsiaTheme="minorEastAsia" w:cstheme="minorBidi"/>
          <w:color w:val="auto"/>
          <w:sz w:val="22"/>
          <w:szCs w:val="22"/>
        </w:rPr>
      </w:pPr>
    </w:p>
    <w:p w14:paraId="3554CA71" w14:textId="77777777" w:rsidR="00802C52" w:rsidRPr="00802C52" w:rsidRDefault="00CA7765" w:rsidP="00802C52">
      <w:r>
        <w:rPr>
          <w:rFonts w:asciiTheme="minorHAnsi" w:hAnsiTheme="minorHAnsi"/>
          <w:noProof/>
          <w:color w:val="000000" w:themeColor="text1"/>
          <w:sz w:val="20"/>
        </w:rPr>
        <w:fldChar w:fldCharType="end"/>
      </w:r>
    </w:p>
    <w:p w14:paraId="10E72712" w14:textId="77777777" w:rsidR="00802C52" w:rsidRDefault="00802C52" w:rsidP="00A0661F">
      <w:pPr>
        <w:pStyle w:val="Innehll1"/>
      </w:pPr>
    </w:p>
    <w:p w14:paraId="0ED2A519" w14:textId="77777777" w:rsidR="0055395D" w:rsidRPr="0055395D" w:rsidRDefault="0055395D" w:rsidP="0055395D">
      <w:r w:rsidRPr="0055395D">
        <w:br w:type="page"/>
      </w:r>
    </w:p>
    <w:p w14:paraId="42147577" w14:textId="77777777" w:rsidR="0055395D" w:rsidRPr="0055395D" w:rsidRDefault="0055395D" w:rsidP="00C333D9">
      <w:pPr>
        <w:pStyle w:val="SoSBrdtext"/>
      </w:pPr>
      <w:r w:rsidRPr="0055395D">
        <w:lastRenderedPageBreak/>
        <w:t xml:space="preserve">Denna sida är oftast blank för att rapportens </w:t>
      </w:r>
      <w:r w:rsidR="00C333D9">
        <w:t>sammanfattning eller första textsida</w:t>
      </w:r>
      <w:r w:rsidRPr="0055395D">
        <w:t xml:space="preserve"> ska börja på en högersida. </w:t>
      </w:r>
      <w:proofErr w:type="gramStart"/>
      <w:r w:rsidRPr="0055395D">
        <w:t>Undantag</w:t>
      </w:r>
      <w:proofErr w:type="gramEnd"/>
      <w:r w:rsidRPr="0055395D">
        <w:t>: om rapporten är väldigt kort.</w:t>
      </w:r>
    </w:p>
    <w:p w14:paraId="25EB37B7" w14:textId="77777777" w:rsidR="0055395D" w:rsidRPr="0055395D" w:rsidRDefault="0055395D" w:rsidP="0055395D">
      <w:r w:rsidRPr="0055395D">
        <w:br w:type="page"/>
      </w:r>
    </w:p>
    <w:p w14:paraId="4BC52705" w14:textId="77777777" w:rsidR="00674A9D" w:rsidRDefault="00674A9D" w:rsidP="00674A9D">
      <w:pPr>
        <w:pStyle w:val="SoSBrdtext"/>
        <w:sectPr w:rsidR="00674A9D" w:rsidSect="00267C2E">
          <w:headerReference w:type="even" r:id="rId9"/>
          <w:headerReference w:type="default" r:id="rId10"/>
          <w:footerReference w:type="even" r:id="rId11"/>
          <w:footerReference w:type="default" r:id="rId12"/>
          <w:headerReference w:type="first" r:id="rId13"/>
          <w:footerReference w:type="first" r:id="rId14"/>
          <w:pgSz w:w="11907" w:h="16840" w:code="9"/>
          <w:pgMar w:top="1758" w:right="2914" w:bottom="1701" w:left="1843" w:header="839" w:footer="573" w:gutter="0"/>
          <w:pgNumType w:start="1"/>
          <w:cols w:space="720"/>
          <w:titlePg/>
        </w:sectPr>
      </w:pPr>
    </w:p>
    <w:p w14:paraId="6576C5DA" w14:textId="77777777" w:rsidR="00363FC8" w:rsidRDefault="0055395D" w:rsidP="0055395D">
      <w:pPr>
        <w:pStyle w:val="SoSRubrik1"/>
      </w:pPr>
      <w:bookmarkStart w:id="1" w:name="_Toc343672163"/>
      <w:bookmarkStart w:id="2" w:name="_Toc343672259"/>
      <w:bookmarkStart w:id="3" w:name="_Toc343672325"/>
      <w:bookmarkStart w:id="4" w:name="_Toc343672350"/>
      <w:bookmarkStart w:id="5" w:name="_Toc92730947"/>
      <w:r>
        <w:lastRenderedPageBreak/>
        <w:t>Sammanfattning</w:t>
      </w:r>
      <w:bookmarkEnd w:id="1"/>
      <w:bookmarkEnd w:id="2"/>
      <w:bookmarkEnd w:id="3"/>
      <w:bookmarkEnd w:id="4"/>
      <w:bookmarkEnd w:id="5"/>
    </w:p>
    <w:p w14:paraId="1BC01732" w14:textId="69A5667B" w:rsidR="005F22A7" w:rsidRPr="005F22A7" w:rsidRDefault="006A3BA7" w:rsidP="005F22A7">
      <w:pPr>
        <w:pStyle w:val="Kommentarer"/>
        <w:rPr>
          <w:color w:val="000000" w:themeColor="text1"/>
          <w:sz w:val="23"/>
          <w:szCs w:val="23"/>
        </w:rPr>
      </w:pPr>
      <w:bookmarkStart w:id="6" w:name="_Toc343672164"/>
      <w:bookmarkStart w:id="7" w:name="_Toc343672260"/>
      <w:bookmarkStart w:id="8" w:name="_Toc343672326"/>
      <w:bookmarkStart w:id="9" w:name="_Toc343672351"/>
      <w:r w:rsidRPr="00181F4A">
        <w:rPr>
          <w:color w:val="000000" w:themeColor="text1"/>
          <w:sz w:val="23"/>
          <w:szCs w:val="23"/>
        </w:rPr>
        <w:t xml:space="preserve">Sverige är i dag självförsörjande på blodkomponenter i </w:t>
      </w:r>
      <w:r w:rsidR="00253536">
        <w:rPr>
          <w:color w:val="000000" w:themeColor="text1"/>
          <w:sz w:val="23"/>
          <w:szCs w:val="23"/>
        </w:rPr>
        <w:t>den dagliga</w:t>
      </w:r>
      <w:r>
        <w:rPr>
          <w:color w:val="000000" w:themeColor="text1"/>
          <w:sz w:val="23"/>
          <w:szCs w:val="23"/>
        </w:rPr>
        <w:t xml:space="preserve"> hälso-och sjukvården,</w:t>
      </w:r>
      <w:r w:rsidRPr="00181F4A">
        <w:rPr>
          <w:color w:val="000000" w:themeColor="text1"/>
          <w:sz w:val="23"/>
          <w:szCs w:val="23"/>
        </w:rPr>
        <w:t xml:space="preserve"> men för</w:t>
      </w:r>
      <w:r>
        <w:rPr>
          <w:color w:val="000000" w:themeColor="text1"/>
          <w:sz w:val="23"/>
          <w:szCs w:val="23"/>
        </w:rPr>
        <w:t>delningen över tid och plats är stundtals</w:t>
      </w:r>
      <w:r w:rsidRPr="00181F4A">
        <w:rPr>
          <w:color w:val="000000" w:themeColor="text1"/>
          <w:sz w:val="23"/>
          <w:szCs w:val="23"/>
        </w:rPr>
        <w:t xml:space="preserve"> ojämn, och brist på vissa blodgrupper kan tidvis uppkomma.  Blod och blodkomponenter</w:t>
      </w:r>
      <w:r w:rsidR="00FF57ED">
        <w:rPr>
          <w:color w:val="000000" w:themeColor="text1"/>
          <w:sz w:val="23"/>
          <w:szCs w:val="23"/>
        </w:rPr>
        <w:t xml:space="preserve"> (såsom plasma och trombocyter) </w:t>
      </w:r>
      <w:r w:rsidRPr="00181F4A">
        <w:rPr>
          <w:color w:val="000000" w:themeColor="text1"/>
          <w:sz w:val="23"/>
          <w:szCs w:val="23"/>
        </w:rPr>
        <w:t>har begränsad hållbarhet, vilket begränsar lagerhållning. Blodtappning måste därför snabbt kunna skalas upp om behovet uppkommer. Avgörande är också tillgången på godkända blodgivare</w:t>
      </w:r>
      <w:r w:rsidR="005F22A7">
        <w:rPr>
          <w:color w:val="000000" w:themeColor="text1"/>
          <w:sz w:val="23"/>
          <w:szCs w:val="23"/>
        </w:rPr>
        <w:t>,</w:t>
      </w:r>
      <w:r w:rsidR="005F22A7" w:rsidRPr="005F22A7">
        <w:t xml:space="preserve"> </w:t>
      </w:r>
      <w:r w:rsidR="005F22A7">
        <w:rPr>
          <w:color w:val="000000" w:themeColor="text1"/>
          <w:sz w:val="23"/>
          <w:szCs w:val="23"/>
        </w:rPr>
        <w:t>samt lokala lager av</w:t>
      </w:r>
      <w:r w:rsidR="005F22A7" w:rsidRPr="005F22A7">
        <w:rPr>
          <w:color w:val="000000" w:themeColor="text1"/>
          <w:sz w:val="23"/>
          <w:szCs w:val="23"/>
        </w:rPr>
        <w:t xml:space="preserve"> blodpåsar, </w:t>
      </w:r>
      <w:proofErr w:type="spellStart"/>
      <w:r w:rsidR="005F22A7" w:rsidRPr="005F22A7">
        <w:rPr>
          <w:color w:val="000000" w:themeColor="text1"/>
          <w:sz w:val="23"/>
          <w:szCs w:val="23"/>
        </w:rPr>
        <w:t>tappningsset</w:t>
      </w:r>
      <w:proofErr w:type="spellEnd"/>
      <w:r w:rsidR="005F22A7" w:rsidRPr="005F22A7">
        <w:rPr>
          <w:color w:val="000000" w:themeColor="text1"/>
          <w:sz w:val="23"/>
          <w:szCs w:val="23"/>
        </w:rPr>
        <w:t>, transfusionsaggregat och övriga materiel för en snabb ökning av blodtillgången</w:t>
      </w:r>
      <w:r w:rsidR="005F22A7">
        <w:rPr>
          <w:color w:val="000000" w:themeColor="text1"/>
          <w:sz w:val="23"/>
          <w:szCs w:val="23"/>
        </w:rPr>
        <w:t>.</w:t>
      </w:r>
    </w:p>
    <w:p w14:paraId="189130A3" w14:textId="7A0B7C78" w:rsidR="006A3BA7" w:rsidRDefault="006A3BA7" w:rsidP="006A3BA7">
      <w:pPr>
        <w:rPr>
          <w:color w:val="000000" w:themeColor="text1"/>
          <w:sz w:val="23"/>
          <w:szCs w:val="23"/>
        </w:rPr>
      </w:pPr>
      <w:r>
        <w:rPr>
          <w:color w:val="000000" w:themeColor="text1"/>
          <w:sz w:val="23"/>
          <w:szCs w:val="23"/>
        </w:rPr>
        <w:t xml:space="preserve"> I nuläget är</w:t>
      </w:r>
      <w:r w:rsidRPr="00181F4A">
        <w:rPr>
          <w:color w:val="000000" w:themeColor="text1"/>
          <w:sz w:val="23"/>
          <w:szCs w:val="23"/>
        </w:rPr>
        <w:t xml:space="preserve"> ci</w:t>
      </w:r>
      <w:r w:rsidR="00FF57ED">
        <w:rPr>
          <w:color w:val="000000" w:themeColor="text1"/>
          <w:sz w:val="23"/>
          <w:szCs w:val="23"/>
        </w:rPr>
        <w:t>rka 2-3 % av befolkningen</w:t>
      </w:r>
      <w:r w:rsidRPr="00181F4A">
        <w:rPr>
          <w:color w:val="000000" w:themeColor="text1"/>
          <w:sz w:val="23"/>
          <w:szCs w:val="23"/>
        </w:rPr>
        <w:t xml:space="preserve"> aktiva blodgivare och även om Sverige är självförsörjande på blod och blodkomp</w:t>
      </w:r>
      <w:r w:rsidR="00FF57ED">
        <w:rPr>
          <w:color w:val="000000" w:themeColor="text1"/>
          <w:sz w:val="23"/>
          <w:szCs w:val="23"/>
        </w:rPr>
        <w:t>onenter till patienter så finns</w:t>
      </w:r>
      <w:r w:rsidRPr="00181F4A">
        <w:rPr>
          <w:color w:val="000000" w:themeColor="text1"/>
          <w:sz w:val="23"/>
          <w:szCs w:val="23"/>
        </w:rPr>
        <w:t xml:space="preserve"> stora skillnader mellan landets regioner. Jämfört med andra EU-länder har Sverige färre blodgivare per 1000 invånare, vilket gör att de blodgivare man har måste tappas oftare, och en bredare bas av aktiva blodgivare är önskvärt för att få en stabil</w:t>
      </w:r>
      <w:r w:rsidR="00FF57ED">
        <w:rPr>
          <w:color w:val="000000" w:themeColor="text1"/>
          <w:sz w:val="23"/>
          <w:szCs w:val="23"/>
        </w:rPr>
        <w:t>are</w:t>
      </w:r>
      <w:r w:rsidRPr="00181F4A">
        <w:rPr>
          <w:color w:val="000000" w:themeColor="text1"/>
          <w:sz w:val="23"/>
          <w:szCs w:val="23"/>
        </w:rPr>
        <w:t xml:space="preserve"> till</w:t>
      </w:r>
      <w:r w:rsidR="00FF57ED">
        <w:rPr>
          <w:color w:val="000000" w:themeColor="text1"/>
          <w:sz w:val="23"/>
          <w:szCs w:val="23"/>
        </w:rPr>
        <w:t>gång till blod och blodkomponenter</w:t>
      </w:r>
      <w:r w:rsidRPr="00181F4A">
        <w:rPr>
          <w:color w:val="000000" w:themeColor="text1"/>
          <w:sz w:val="23"/>
          <w:szCs w:val="23"/>
        </w:rPr>
        <w:t>.</w:t>
      </w:r>
      <w:r>
        <w:rPr>
          <w:color w:val="000000" w:themeColor="text1"/>
          <w:sz w:val="23"/>
          <w:szCs w:val="23"/>
        </w:rPr>
        <w:t xml:space="preserve"> </w:t>
      </w:r>
    </w:p>
    <w:p w14:paraId="15039B09" w14:textId="076BCFF4" w:rsidR="006A3BA7" w:rsidRDefault="006A3BA7" w:rsidP="006A3BA7">
      <w:pPr>
        <w:pStyle w:val="SoSBrdtextindragfrstaraden"/>
      </w:pPr>
      <w:r>
        <w:t xml:space="preserve">I denna rapport föreslås ett antal åtgärder i syfte att bredda blodgivarpopulationen. Dessa förslag innefattar införande av </w:t>
      </w:r>
      <w:proofErr w:type="spellStart"/>
      <w:r>
        <w:t>Nucleic</w:t>
      </w:r>
      <w:proofErr w:type="spellEnd"/>
      <w:r>
        <w:t xml:space="preserve"> </w:t>
      </w:r>
      <w:proofErr w:type="spellStart"/>
      <w:r>
        <w:t>Acid</w:t>
      </w:r>
      <w:proofErr w:type="spellEnd"/>
      <w:r>
        <w:t xml:space="preserve"> Test (NAT-test) för att kunna korta karenstiderna efter riskexposition, att möjliggöra blodgivning för personer som inte talar svenska, riktade rekryteringskampanjer, samarbete med Försvarsmakten i syfte att rekrytera värnpliktiga som blodgivare samt att se över karenstiderna</w:t>
      </w:r>
      <w:r w:rsidR="00E11134">
        <w:t xml:space="preserve"> för blodgiv</w:t>
      </w:r>
      <w:r w:rsidR="007F2E6D">
        <w:t>ning</w:t>
      </w:r>
      <w:r>
        <w:t xml:space="preserve"> efter viss riskexposition. Vidare föreslås en centraliserad blodverksamhet, samt att utreda förutsättningarna för en inhemsk produktion av frystorkad plasma och nyttan av frysta trombocyter.</w:t>
      </w:r>
    </w:p>
    <w:p w14:paraId="4A4D3CD8" w14:textId="77777777" w:rsidR="00DF09FE" w:rsidRDefault="00DF09FE" w:rsidP="00DF09FE">
      <w:pPr>
        <w:pStyle w:val="SoSBrdtextindragfrstaraden"/>
        <w:ind w:firstLine="0"/>
      </w:pPr>
      <w:r>
        <w:t>Vid fredstida kris, höjd beredskap eller krig är det av särskilt stor betydelse att det finns möjlighet att lämna blod oavsett var i landet man befinner sig eftersom människor oftast rör sig över regiongränser. Det är därför viktigt att det finns ett fungerande system som möjliggör utbyte av blodgivaruppgifter mellan regionerna och som är lättillgängligt för blodverksamheterna för att blodtappningen vid krissituationer och krig så effektiv som möjligt ska möta behovet.</w:t>
      </w:r>
    </w:p>
    <w:p w14:paraId="51391733" w14:textId="2424CF43" w:rsidR="00DF09FE" w:rsidRPr="00DF09FE" w:rsidRDefault="00DF09FE" w:rsidP="00DF09FE">
      <w:pPr>
        <w:pStyle w:val="Brdtextmedindrag"/>
      </w:pPr>
      <w:r w:rsidRPr="00181F4A">
        <w:rPr>
          <w:sz w:val="23"/>
          <w:szCs w:val="23"/>
        </w:rPr>
        <w:t>I dagsläget finns</w:t>
      </w:r>
      <w:r>
        <w:rPr>
          <w:sz w:val="23"/>
          <w:szCs w:val="23"/>
        </w:rPr>
        <w:t xml:space="preserve"> uppgifter om godkända blodgivare i </w:t>
      </w:r>
      <w:r>
        <w:t xml:space="preserve">lokala register hos varje blodverksamhet. </w:t>
      </w:r>
      <w:r>
        <w:rPr>
          <w:sz w:val="23"/>
          <w:szCs w:val="23"/>
        </w:rPr>
        <w:t xml:space="preserve">Det finns </w:t>
      </w:r>
      <w:r>
        <w:rPr>
          <w:szCs w:val="23"/>
        </w:rPr>
        <w:t xml:space="preserve">därmed </w:t>
      </w:r>
      <w:r w:rsidRPr="00181F4A">
        <w:rPr>
          <w:sz w:val="23"/>
          <w:szCs w:val="23"/>
        </w:rPr>
        <w:t xml:space="preserve">inget nationellt register </w:t>
      </w:r>
      <w:r w:rsidR="00746941">
        <w:rPr>
          <w:szCs w:val="23"/>
        </w:rPr>
        <w:t xml:space="preserve">med uppgifter som möjliggör </w:t>
      </w:r>
      <w:r>
        <w:t xml:space="preserve">att kunna lämna blod var som helst i landet utan att behöva bli godkänd som blodgivare på nytt. </w:t>
      </w:r>
      <w:r>
        <w:rPr>
          <w:color w:val="000000" w:themeColor="text1"/>
          <w:sz w:val="23"/>
          <w:szCs w:val="23"/>
        </w:rPr>
        <w:t xml:space="preserve">I detta arbete beskrivs förutsättningarna för att inrätta ett nationellt register över godkända blodgivare som ska vara tillgängligt för alla blodverksamheter så att möjligheten att lämna blod var som helst i Sverige ökar. Socialstyrelsens bedömning är att det skulle behövas en särskild författningsreglering för ett sådant register. </w:t>
      </w:r>
    </w:p>
    <w:p w14:paraId="5277E9C2" w14:textId="06A24488" w:rsidR="00017209" w:rsidRPr="00181F4A" w:rsidRDefault="00DF09FE" w:rsidP="00DF09FE">
      <w:pPr>
        <w:pStyle w:val="SoSBrdtextindragfrstaraden"/>
        <w:rPr>
          <w:szCs w:val="23"/>
        </w:rPr>
      </w:pPr>
      <w:r>
        <w:rPr>
          <w:szCs w:val="23"/>
        </w:rPr>
        <w:t xml:space="preserve">I arbetet beskrivs även ett alternativt förslag som bygger på en utveckling av det befintliga systemet med s.k. gästblodgivning som i dagsläget </w:t>
      </w:r>
      <w:r>
        <w:t>möjliggör ett informationsutbyte mellan blodverksamheterna och därmed att en blodgivare kan lämna blod i en annan region än hemregionen utan att på nytt behöva utredas som ny blodgivare.</w:t>
      </w:r>
    </w:p>
    <w:p w14:paraId="5D4F930A" w14:textId="77777777" w:rsidR="00017209" w:rsidRDefault="00017209">
      <w:pPr>
        <w:spacing w:line="240" w:lineRule="auto"/>
        <w:rPr>
          <w:color w:val="000000" w:themeColor="text1"/>
          <w:sz w:val="23"/>
        </w:rPr>
      </w:pPr>
      <w:r>
        <w:br w:type="page"/>
      </w:r>
    </w:p>
    <w:p w14:paraId="50C8BF1F" w14:textId="77777777" w:rsidR="00017209" w:rsidRDefault="00017209" w:rsidP="00017209">
      <w:pPr>
        <w:pStyle w:val="SoSRubrik2"/>
      </w:pPr>
      <w:bookmarkStart w:id="10" w:name="_Toc92730948"/>
      <w:bookmarkEnd w:id="6"/>
      <w:bookmarkEnd w:id="7"/>
      <w:bookmarkEnd w:id="8"/>
      <w:bookmarkEnd w:id="9"/>
      <w:r>
        <w:lastRenderedPageBreak/>
        <w:t>Uppdragsbeskrivning</w:t>
      </w:r>
      <w:bookmarkEnd w:id="10"/>
    </w:p>
    <w:p w14:paraId="4058F5F5" w14:textId="77777777" w:rsidR="00017209" w:rsidRDefault="00017209" w:rsidP="00017209">
      <w:pPr>
        <w:pStyle w:val="SoSBrdtextindragfrstaraden"/>
        <w:ind w:firstLine="0"/>
      </w:pPr>
      <w:r w:rsidRPr="00626389">
        <w:t>Socialstyrelsen fick den 24 mars 20</w:t>
      </w:r>
      <w:r>
        <w:t xml:space="preserve">21 i regeringsuppdrag </w:t>
      </w:r>
      <w:r w:rsidRPr="00174B1B">
        <w:t>att ta fram underlag m</w:t>
      </w:r>
      <w:r>
        <w:t>.</w:t>
      </w:r>
      <w:r w:rsidRPr="00174B1B">
        <w:t>m. samt att samordna, stödja,</w:t>
      </w:r>
      <w:r>
        <w:t xml:space="preserve"> </w:t>
      </w:r>
      <w:r w:rsidRPr="00174B1B">
        <w:t>följa upp och utvärdera regionernas arbete med hälso- och</w:t>
      </w:r>
      <w:r>
        <w:t xml:space="preserve"> </w:t>
      </w:r>
      <w:r w:rsidRPr="00174B1B">
        <w:t>sjukvårdens beredskap och planering inför civilt försva</w:t>
      </w:r>
      <w:r>
        <w:t>r (S2021/02921(delvis)). Inriktningen på uppdraget är att utveckla och stärka hälso- och sjukvårdens förmåga vid kris och krig. Regeringsuppdraget är ett av tre uppdrag</w:t>
      </w:r>
      <w:r>
        <w:rPr>
          <w:rStyle w:val="Fotnotsreferens"/>
        </w:rPr>
        <w:footnoteReference w:id="1"/>
      </w:r>
      <w:r>
        <w:t xml:space="preserve"> som rör krisberedskap, katastrofmedicinsk beredskap och civilt försvar. I regeringsuppdraget finns flera beroenden till delar i andra aktuella regeringsuppdrag såsom definition av katastrofmedicinsk beredskap, framtagande av masskadeplan och utveckling av </w:t>
      </w:r>
      <w:proofErr w:type="spellStart"/>
      <w:r>
        <w:t>prioriteringsprinciper</w:t>
      </w:r>
      <w:proofErr w:type="spellEnd"/>
      <w:r>
        <w:t xml:space="preserve"> vid kris och krig. </w:t>
      </w:r>
    </w:p>
    <w:p w14:paraId="2FE08ED9" w14:textId="77777777" w:rsidR="00017209" w:rsidRDefault="00017209" w:rsidP="00017209">
      <w:pPr>
        <w:pStyle w:val="SoSBrdtextindragfrstaraden"/>
      </w:pPr>
      <w:r>
        <w:t xml:space="preserve">Detta regeringsuppdrag är uppdelat i flera delredovisningar och med denna rapport redovisas </w:t>
      </w:r>
      <w:r w:rsidR="005E0E25">
        <w:t xml:space="preserve">följande </w:t>
      </w:r>
      <w:r>
        <w:t>deluppdrag rörande blodverksamhet.</w:t>
      </w:r>
    </w:p>
    <w:p w14:paraId="54D4E250" w14:textId="77777777" w:rsidR="005E0E25" w:rsidRDefault="005E0E25" w:rsidP="005E0E25">
      <w:pPr>
        <w:pStyle w:val="SoSBrdtextindragfrstaraden"/>
        <w:ind w:firstLine="0"/>
      </w:pPr>
    </w:p>
    <w:p w14:paraId="05FAFBD8" w14:textId="77777777" w:rsidR="00017209" w:rsidRDefault="005E0E25" w:rsidP="00017209">
      <w:pPr>
        <w:pStyle w:val="SoSBrdtextindragfrstaraden"/>
        <w:ind w:firstLine="0"/>
        <w:rPr>
          <w:color w:val="auto"/>
        </w:rPr>
      </w:pPr>
      <w:r>
        <w:t>Uppdraget:</w:t>
      </w:r>
    </w:p>
    <w:p w14:paraId="089C4CB6" w14:textId="77777777" w:rsidR="00017209" w:rsidRPr="00181F4A" w:rsidRDefault="00017209" w:rsidP="00017209">
      <w:pPr>
        <w:pStyle w:val="SoSBrdtext"/>
        <w:numPr>
          <w:ilvl w:val="0"/>
          <w:numId w:val="17"/>
        </w:numPr>
        <w:spacing w:line="264" w:lineRule="atLeast"/>
        <w:rPr>
          <w:szCs w:val="23"/>
        </w:rPr>
      </w:pPr>
      <w:r w:rsidRPr="00181F4A">
        <w:rPr>
          <w:szCs w:val="23"/>
        </w:rPr>
        <w:t>att undersöka förutsättningarna för att införa ett nationellt register över godkända blodgivare som är tillgängligt för alla Sveriges blodverksamheter</w:t>
      </w:r>
      <w:r w:rsidR="005E0E25">
        <w:rPr>
          <w:szCs w:val="23"/>
        </w:rPr>
        <w:t xml:space="preserve"> och </w:t>
      </w:r>
    </w:p>
    <w:p w14:paraId="6F37A147" w14:textId="77777777" w:rsidR="00017209" w:rsidRPr="00181F4A" w:rsidRDefault="00017209" w:rsidP="00017209">
      <w:pPr>
        <w:pStyle w:val="SoSBrdtextindragfrstaraden"/>
        <w:numPr>
          <w:ilvl w:val="0"/>
          <w:numId w:val="17"/>
        </w:numPr>
        <w:spacing w:line="264" w:lineRule="atLeast"/>
        <w:rPr>
          <w:szCs w:val="23"/>
        </w:rPr>
      </w:pPr>
      <w:r w:rsidRPr="00181F4A">
        <w:rPr>
          <w:szCs w:val="23"/>
        </w:rPr>
        <w:t>att utarbeta en plan för hur blodverksamheterna ska kunna öka kapaciteten</w:t>
      </w:r>
      <w:r w:rsidR="005E0E25">
        <w:rPr>
          <w:szCs w:val="23"/>
        </w:rPr>
        <w:t xml:space="preserve"> för att kunna svara upp mot de krav som kommer av den katastrofmedicinska beredskapen</w:t>
      </w:r>
    </w:p>
    <w:p w14:paraId="443325B7" w14:textId="77777777" w:rsidR="00017209" w:rsidRDefault="00017209" w:rsidP="00017209">
      <w:pPr>
        <w:pStyle w:val="SoSBrdtextindragfrstaraden"/>
        <w:rPr>
          <w:szCs w:val="23"/>
        </w:rPr>
      </w:pPr>
    </w:p>
    <w:p w14:paraId="793AC04F" w14:textId="77777777" w:rsidR="005E0E25" w:rsidRDefault="005E0E25" w:rsidP="005E0E25">
      <w:pPr>
        <w:pStyle w:val="SoSRubrik2"/>
      </w:pPr>
      <w:bookmarkStart w:id="11" w:name="_Toc92730949"/>
      <w:r>
        <w:t>Omfattning och avgränsningar</w:t>
      </w:r>
      <w:bookmarkEnd w:id="11"/>
    </w:p>
    <w:p w14:paraId="5DF086F1" w14:textId="70D24052" w:rsidR="00AB3EDF" w:rsidRDefault="008E2B2A" w:rsidP="00AB3EDF">
      <w:pPr>
        <w:pStyle w:val="SoSBrdtext"/>
      </w:pPr>
      <w:r>
        <w:t>Inom ramen för uppdraget</w:t>
      </w:r>
      <w:r w:rsidR="005E0E25" w:rsidRPr="005E0E25">
        <w:t xml:space="preserve"> har information inhämtats om vilka uppgifter om blodgivarna som behöver finnas i regist</w:t>
      </w:r>
      <w:r w:rsidR="005E0E25">
        <w:t>ret för att det ska vara använd</w:t>
      </w:r>
      <w:r w:rsidR="005E0E25" w:rsidRPr="005E0E25">
        <w:t>bart för blodverksamheterna. Därför har en expertgrupp med representanter från blodverksamheter, blodgivarrekryt</w:t>
      </w:r>
      <w:r w:rsidR="005E0E25">
        <w:t>ering och Försvarsmakten samman</w:t>
      </w:r>
      <w:r w:rsidR="005E0E25" w:rsidRPr="005E0E25">
        <w:t>kallats. Inom</w:t>
      </w:r>
      <w:r>
        <w:t xml:space="preserve"> uppdraget</w:t>
      </w:r>
      <w:r w:rsidR="005E0E25" w:rsidRPr="005E0E25">
        <w:t xml:space="preserve"> undersöktes de juridiska förutsättningarna för att införa ett nationellt register, och vilka förutsättningar det finn</w:t>
      </w:r>
      <w:r w:rsidR="004858CB">
        <w:t>s för förvaltning av ett sådant</w:t>
      </w:r>
      <w:r w:rsidR="005E0E25" w:rsidRPr="005E0E25">
        <w:t xml:space="preserve"> register. Expertgruppen har också tillfrågats om faktorer som kan öka antalet blodgivare i Sverige. Genom expertgruppen har information om nulägesbild, behov och </w:t>
      </w:r>
      <w:r w:rsidR="00AB3EDF">
        <w:t>önskvärd plan framåt inhämtats.</w:t>
      </w:r>
    </w:p>
    <w:p w14:paraId="2F54B336" w14:textId="0FE6C435" w:rsidR="0047365E" w:rsidRPr="0047365E" w:rsidRDefault="005F22A7" w:rsidP="0047365E">
      <w:pPr>
        <w:pStyle w:val="SoSBrdtextindragfrstaraden"/>
        <w:ind w:firstLine="0"/>
        <w:rPr>
          <w:b/>
        </w:rPr>
      </w:pPr>
      <w:r>
        <w:t>Vid en kris eller i krig är tillgången till blod och materiel för blodtappning samt en fungerande transport av dessa av yttersta vikt.</w:t>
      </w:r>
      <w:r w:rsidR="005E0E25" w:rsidRPr="00262312">
        <w:t xml:space="preserve"> Det är därför viktigt att utreda även denna aspekt av blodförsörjning</w:t>
      </w:r>
      <w:r w:rsidR="004858CB">
        <w:t>en</w:t>
      </w:r>
      <w:r w:rsidR="005E0E25" w:rsidRPr="00262312">
        <w:t>, men då denna frågeställning inte ingår i detta u</w:t>
      </w:r>
      <w:r w:rsidR="005D6DF8">
        <w:t>ppdrag har frågan inte utretts</w:t>
      </w:r>
      <w:r w:rsidR="005E0E25" w:rsidRPr="00262312">
        <w:t xml:space="preserve">. </w:t>
      </w:r>
      <w:r w:rsidR="005D6DF8">
        <w:t>I uppdraget har inte</w:t>
      </w:r>
      <w:r w:rsidR="005E0E25" w:rsidRPr="00262312">
        <w:t xml:space="preserve"> </w:t>
      </w:r>
      <w:r w:rsidR="005D6DF8">
        <w:t xml:space="preserve">heller </w:t>
      </w:r>
      <w:r w:rsidR="005E0E25" w:rsidRPr="00262312">
        <w:t>frågan om krislager av material</w:t>
      </w:r>
      <w:r w:rsidR="005D6DF8">
        <w:t xml:space="preserve"> utretts</w:t>
      </w:r>
      <w:r w:rsidR="005E0E25" w:rsidRPr="00262312">
        <w:t>, trots att det också i förlängningen är nödvändigt för att kunna öka antalet blodgivare under en kris, då detta inte heller ryms inom ramen för regeringsuppdraget. Från verksamheterna har framkommit en önskan om vägledning om vilka tester för blodsmitta som kan frångås vid en kris med stor brist på blod, en sådan vägledning kan inte heller tas om hand inom rame</w:t>
      </w:r>
      <w:r w:rsidR="00426B88">
        <w:t>n för detta arbete</w:t>
      </w:r>
      <w:r w:rsidR="005E0E25">
        <w:t>. Blod utgör</w:t>
      </w:r>
      <w:r w:rsidR="005E0E25" w:rsidRPr="00262312">
        <w:t xml:space="preserve"> också råvara för </w:t>
      </w:r>
      <w:r w:rsidR="005E0E25" w:rsidRPr="00262312">
        <w:lastRenderedPageBreak/>
        <w:t>framställning av vissa läkemedel ur plasma. I nuläget är Sverige inte självförsörjande på plasma till läkemedel, utan är beroende av import</w:t>
      </w:r>
      <w:r w:rsidR="005E0E25">
        <w:t xml:space="preserve"> från andra EU-länder, men också från tredje land</w:t>
      </w:r>
      <w:r w:rsidR="005E0E25" w:rsidRPr="00262312">
        <w:t>. Frågan om plasma till läkemedel kommer inte heller att utre</w:t>
      </w:r>
      <w:r w:rsidR="00426B88">
        <w:t xml:space="preserve">das inom ramen för detta </w:t>
      </w:r>
      <w:r w:rsidR="00BD22E5">
        <w:t>arbete</w:t>
      </w:r>
      <w:r w:rsidR="005E0E25" w:rsidRPr="00262312">
        <w:t>.</w:t>
      </w:r>
      <w:r w:rsidR="0047365E">
        <w:t xml:space="preserve"> Att utreda förutsättningarna för ett nationellt register samt att utreda hur verksamheterna skulle kunna utöka sin blodgivarpopulation är ett komplext uppdrag. Projektet har utförts på kort tid, och en fördjupad utredning skulle behövas. En bredare förankring i verksamheterna än vad som varit möjligt innanför ramen för detta uppdrag är också av vikt för fortsatt arbete med frågan.</w:t>
      </w:r>
    </w:p>
    <w:p w14:paraId="6F75A949" w14:textId="3679EDC3" w:rsidR="005E0E25" w:rsidRDefault="005E0E25" w:rsidP="00AB3EDF">
      <w:pPr>
        <w:pStyle w:val="SoSBrdtextindragfrstaraden"/>
      </w:pPr>
    </w:p>
    <w:p w14:paraId="0FEC3847" w14:textId="77777777" w:rsidR="005E0E25" w:rsidRDefault="005E0E25" w:rsidP="005E0E25">
      <w:pPr>
        <w:pStyle w:val="SoSBrdtextindragfrstaraden"/>
        <w:ind w:firstLine="0"/>
      </w:pPr>
    </w:p>
    <w:p w14:paraId="7437BEDA" w14:textId="77777777" w:rsidR="005E0E25" w:rsidRPr="00262312" w:rsidRDefault="005E0E25" w:rsidP="00E92ABB">
      <w:pPr>
        <w:pStyle w:val="SoSRubrik2"/>
      </w:pPr>
      <w:bookmarkStart w:id="12" w:name="_Toc92730951"/>
      <w:r>
        <w:t>Nuläge</w:t>
      </w:r>
      <w:bookmarkEnd w:id="12"/>
    </w:p>
    <w:p w14:paraId="19A1A0D7" w14:textId="61758C9B" w:rsidR="00874D49" w:rsidRDefault="00874D49" w:rsidP="00874D49">
      <w:pPr>
        <w:pStyle w:val="SoSBrdtext"/>
      </w:pPr>
      <w:r>
        <w:t>Logistiken runt blodförsörjning är komplex och beroende av flera faktorer såsom tillräckligt tillgång till godkända blodgivare, laboratorier, kompetent personal och tillgång till material. Sverige är i dag självförsörjan</w:t>
      </w:r>
      <w:r w:rsidR="00720576">
        <w:t>de på blodkomponenter i den dagliga hälso-och sjukvården</w:t>
      </w:r>
      <w:r>
        <w:t xml:space="preserve"> men fördelningen av olika typer av blod över tid och plats är ibland ojämn, och brist på vissa blodgrupper kan tidvis uppkomma.  Blod och blodkomponenter har begränsad hållbarhet, vilket begränsar lagerhållning. Blodtappning måste därför snabbt kunna skalas upp om behovet uppkommer. Avgörande är också tillgången på godk</w:t>
      </w:r>
      <w:r w:rsidR="00720576">
        <w:t>ända blodgivare I nuläget är</w:t>
      </w:r>
      <w:r>
        <w:t xml:space="preserve"> ci</w:t>
      </w:r>
      <w:r w:rsidR="00720576">
        <w:t>rka 2-3 % av befolkningen</w:t>
      </w:r>
      <w:r>
        <w:t xml:space="preserve"> aktiva blodgivare och även om Sverige är självförsörjande på blod och blodkomponenter till patienter så är det stora skillnader mellan landets regioner.</w:t>
      </w:r>
    </w:p>
    <w:p w14:paraId="68A42475" w14:textId="63ACED5F" w:rsidR="00874D49" w:rsidRPr="00874D49" w:rsidRDefault="00874D49" w:rsidP="00874D49">
      <w:pPr>
        <w:pStyle w:val="Brdtextmedindrag"/>
        <w:rPr>
          <w:color w:val="000000" w:themeColor="text1"/>
          <w:sz w:val="23"/>
          <w:szCs w:val="20"/>
        </w:rPr>
      </w:pPr>
      <w:r w:rsidRPr="00874D49">
        <w:rPr>
          <w:color w:val="000000" w:themeColor="text1"/>
          <w:sz w:val="23"/>
          <w:szCs w:val="20"/>
        </w:rPr>
        <w:t>Jämfört med andra EU-länder har Sverige färre blodgivare per 1000 invånare, vilk</w:t>
      </w:r>
      <w:r w:rsidR="00720576">
        <w:rPr>
          <w:color w:val="000000" w:themeColor="text1"/>
          <w:sz w:val="23"/>
          <w:szCs w:val="20"/>
        </w:rPr>
        <w:t>et gör att de blodgivare som finns tillgängliga</w:t>
      </w:r>
      <w:r w:rsidRPr="00874D49">
        <w:rPr>
          <w:color w:val="000000" w:themeColor="text1"/>
          <w:sz w:val="23"/>
          <w:szCs w:val="20"/>
        </w:rPr>
        <w:t xml:space="preserve"> måste tappas oftare, och en bredare bas av aktiva blodgivare är önskvärt för att få en stabil</w:t>
      </w:r>
      <w:r w:rsidR="00720576">
        <w:rPr>
          <w:color w:val="000000" w:themeColor="text1"/>
          <w:sz w:val="23"/>
          <w:szCs w:val="20"/>
        </w:rPr>
        <w:t>are</w:t>
      </w:r>
      <w:r w:rsidRPr="00874D49">
        <w:rPr>
          <w:color w:val="000000" w:themeColor="text1"/>
          <w:sz w:val="23"/>
          <w:szCs w:val="20"/>
        </w:rPr>
        <w:t xml:space="preserve"> tillg</w:t>
      </w:r>
      <w:r w:rsidR="00AB3EDF">
        <w:rPr>
          <w:color w:val="000000" w:themeColor="text1"/>
          <w:sz w:val="23"/>
          <w:szCs w:val="20"/>
        </w:rPr>
        <w:t>ång till blod och blodprodukter</w:t>
      </w:r>
      <w:r w:rsidRPr="00874D49">
        <w:rPr>
          <w:color w:val="000000" w:themeColor="text1"/>
          <w:sz w:val="23"/>
          <w:szCs w:val="20"/>
        </w:rPr>
        <w:t>.</w:t>
      </w:r>
    </w:p>
    <w:p w14:paraId="7C1779DC" w14:textId="77777777" w:rsidR="00874D49" w:rsidRDefault="00874D49" w:rsidP="00874D49">
      <w:pPr>
        <w:pStyle w:val="SoSBrdtext"/>
      </w:pPr>
      <w:r>
        <w:t> </w:t>
      </w:r>
    </w:p>
    <w:p w14:paraId="2BAAF990" w14:textId="77777777" w:rsidR="00874D49" w:rsidRDefault="00874D49" w:rsidP="003D03B2">
      <w:pPr>
        <w:pStyle w:val="SoSRubrik3"/>
      </w:pPr>
      <w:bookmarkStart w:id="13" w:name="_Toc92730952"/>
      <w:r>
        <w:t>Ojämn tillgång till blodgivare över landet</w:t>
      </w:r>
      <w:bookmarkEnd w:id="13"/>
    </w:p>
    <w:p w14:paraId="5934E0E7" w14:textId="41C0F88C" w:rsidR="003D03B2" w:rsidRDefault="00874D49" w:rsidP="003D03B2">
      <w:pPr>
        <w:pStyle w:val="SoSBrdtext"/>
      </w:pPr>
      <w:r>
        <w:t xml:space="preserve">Brist på blod uppstår främst i storstadsregionerna. Detta beror på att </w:t>
      </w:r>
      <w:r w:rsidR="003D03B2">
        <w:t>universitetssjukhusen</w:t>
      </w:r>
      <w:r>
        <w:t xml:space="preserve"> som utför de mer komplicerade operationerna som kan kräva blodtransfusion finns där. Samtidigt framgår av Socialstyrelsens omvärldsbevakning att många av de trogna blodgivarna finns utanför storstadsregionerna, vilket gör att ett glapp uppstår mellan tillgång och efterfrågan. De mindre regionerna tappar ofta mindre blod än vad de skulle kunna göra eftersom regionens egna sjukhus inte har </w:t>
      </w:r>
      <w:r w:rsidR="00720576">
        <w:t>behov av att tappa mer blod då</w:t>
      </w:r>
      <w:r>
        <w:t xml:space="preserve"> man inte vill kassera blodprodukter. Detta innebär att </w:t>
      </w:r>
      <w:r w:rsidR="003D03B2">
        <w:t>storstadsregionerna</w:t>
      </w:r>
      <w:r>
        <w:t xml:space="preserve"> som kan ha svårt att täcka sitt behov av blod tappat från den egna regionens medborgare måste köpa in blod från andra regioner. I dagsläget finns inget system för att kunna se var i landet det finns ett överskott av blod, utan verksamheterna behöver ringa runt för att hitta blod, vilket kan innebära förseningar vid en </w:t>
      </w:r>
      <w:r w:rsidR="003D03B2">
        <w:t>krissituation.</w:t>
      </w:r>
    </w:p>
    <w:p w14:paraId="5CA4E4B8" w14:textId="47BCF6CA" w:rsidR="00874D49" w:rsidRDefault="00874D49" w:rsidP="003D03B2">
      <w:pPr>
        <w:pStyle w:val="SoSBrdtextindragfrstaraden"/>
      </w:pPr>
      <w:r w:rsidRPr="003D03B2">
        <w:rPr>
          <w:rStyle w:val="SoSBrdtextChar"/>
        </w:rPr>
        <w:t>I Sverige finns i nuläget 26 blodverksamheter i sex sjukvårdsregioner. Dessa verksamheter är oberoende av varandra</w:t>
      </w:r>
      <w:r w:rsidR="005F22A7">
        <w:rPr>
          <w:rStyle w:val="SoSBrdtextChar"/>
        </w:rPr>
        <w:t>, men samarbete sker</w:t>
      </w:r>
      <w:r w:rsidRPr="003D03B2">
        <w:rPr>
          <w:rStyle w:val="SoSBrdtextChar"/>
        </w:rPr>
        <w:t xml:space="preserve"> vid be</w:t>
      </w:r>
      <w:r w:rsidRPr="003D03B2">
        <w:rPr>
          <w:rStyle w:val="SoSBrdtextChar"/>
        </w:rPr>
        <w:lastRenderedPageBreak/>
        <w:t xml:space="preserve">hov. Organisationen för blodverksamheterna kan variera; de kan vara organiserade som fasta tappningsställen eller som mobila enheter, s.k. blodbussar. För att underlätta för blodgivarna är blodbussarna och de fasta tappningsställena ofta placerade på centrala punkter, vilket </w:t>
      </w:r>
      <w:r>
        <w:t>kan vara långt från laboratorierna där produktion av blodkomponenter sker. Därför är blodverksamheten mycket beroende av</w:t>
      </w:r>
      <w:r w:rsidR="003D03B2">
        <w:t xml:space="preserve"> fungerande transporter. Blodgi</w:t>
      </w:r>
      <w:r>
        <w:t>varna finns registrerade i sin egen region, och regionerna har inte tillgång till information om varandras blodgivare, vilke</w:t>
      </w:r>
      <w:r w:rsidR="003D03B2">
        <w:t>t innebär att en godkänd blodgi</w:t>
      </w:r>
      <w:r>
        <w:t>vare inte kan lämna blod i en annan region utan att utre</w:t>
      </w:r>
      <w:r w:rsidR="003D03B2">
        <w:t>das som ny blodgi</w:t>
      </w:r>
      <w:r>
        <w:t xml:space="preserve">vare, om inte de båda regionerna är anslutna </w:t>
      </w:r>
      <w:r w:rsidR="003D03B2">
        <w:t>till ett system för gästblodgiv</w:t>
      </w:r>
      <w:r>
        <w:t>ning, Sam</w:t>
      </w:r>
      <w:r w:rsidR="003D03B2">
        <w:t>v</w:t>
      </w:r>
      <w:r>
        <w:t xml:space="preserve">erkande Blodsystem (SBS). SBS omfattar ungefär hälften av </w:t>
      </w:r>
      <w:r w:rsidR="003D03B2">
        <w:t>Sveriges regioner i dagsläget.</w:t>
      </w:r>
    </w:p>
    <w:p w14:paraId="3CE748C7" w14:textId="07320461" w:rsidR="005E0E25" w:rsidRDefault="00874D49" w:rsidP="003D03B2">
      <w:pPr>
        <w:pStyle w:val="SoSBrdtextindragfrstaraden"/>
      </w:pPr>
      <w:r>
        <w:t xml:space="preserve">SBS är benämning på en teknisk funktion som möjliggör utbyte av blod-givaruppgifter mellan olika datasystem på blodcentraler i Sverige som är anslutna till tjänsten. Genom SBS ska en blodgivare som är registrerad på en blodcentral kunna lämna blod på en annan blodcentral utan att betraktas som helt ny och blodenheten kunna omhändertas på sedvanligt sätt. </w:t>
      </w:r>
      <w:r w:rsidR="003D03B2">
        <w:t>Sy</w:t>
      </w:r>
      <w:r w:rsidR="005F22A7">
        <w:t>stemägare</w:t>
      </w:r>
      <w:r>
        <w:t xml:space="preserve"> är Svenska Blodalliansen (</w:t>
      </w:r>
      <w:proofErr w:type="spellStart"/>
      <w:r>
        <w:t>SweBA</w:t>
      </w:r>
      <w:proofErr w:type="spellEnd"/>
      <w:r>
        <w:t>) som är en ideell organisation som ska verka för ett organisatoriskt och driftsmässigt samarbete mellan blodcentralerna i Sverige.</w:t>
      </w:r>
    </w:p>
    <w:p w14:paraId="0FDFBD48" w14:textId="77777777" w:rsidR="003D03B2" w:rsidRDefault="003D03B2" w:rsidP="003D03B2">
      <w:pPr>
        <w:pStyle w:val="SoSBrdtextindragfrstaraden"/>
      </w:pPr>
    </w:p>
    <w:p w14:paraId="5B1736D6" w14:textId="18BCDB30" w:rsidR="006D7B49" w:rsidRDefault="006D7B49" w:rsidP="003D03B2">
      <w:pPr>
        <w:pStyle w:val="SoSRubrik2"/>
      </w:pPr>
      <w:bookmarkStart w:id="14" w:name="_Toc92730954"/>
      <w:r>
        <w:rPr>
          <w:szCs w:val="23"/>
        </w:rPr>
        <w:t>E</w:t>
      </w:r>
      <w:r w:rsidRPr="00181F4A">
        <w:rPr>
          <w:szCs w:val="23"/>
        </w:rPr>
        <w:t>n plan för hur blodverksamheterna ska kunna öka kapaciteten</w:t>
      </w:r>
      <w:r>
        <w:t xml:space="preserve"> </w:t>
      </w:r>
    </w:p>
    <w:p w14:paraId="19A90CEB" w14:textId="35C4D474" w:rsidR="003D03B2" w:rsidRDefault="003D03B2" w:rsidP="00253536">
      <w:pPr>
        <w:pStyle w:val="SoSRubrik3"/>
      </w:pPr>
      <w:r>
        <w:t>Centraliserad blodverksamhet</w:t>
      </w:r>
      <w:bookmarkEnd w:id="14"/>
    </w:p>
    <w:p w14:paraId="0561626D" w14:textId="254EDA71" w:rsidR="003D03B2" w:rsidRDefault="003D03B2" w:rsidP="003D03B2">
      <w:pPr>
        <w:pStyle w:val="SoSBrdtextindragfrstaraden"/>
        <w:ind w:firstLine="0"/>
      </w:pPr>
      <w:r>
        <w:t>Idag är blodverksamheterna oberoende av varandra och är under ansvar av respektive sjukvårdsregion. Detta försvårar den nationella överblicken över tillgången på blod i Sverige. Vid dialog med blodverksamheter och Försvarsmakten har framkommit att en centraliserad blodverksamhet skulle innebära många fördelar. Det skulle bli lättare att täcka behovet av blod nationellt då många av blodgivarna finns i de mindre regionerna, medan behovet av blod är som störst i storstadsregionerna. Med en centraliserad blodve</w:t>
      </w:r>
      <w:r w:rsidR="00270712">
        <w:t xml:space="preserve">rksamhet skulle </w:t>
      </w:r>
      <w:r>
        <w:t>blod</w:t>
      </w:r>
      <w:r w:rsidR="00270712">
        <w:t xml:space="preserve"> kunna tappas</w:t>
      </w:r>
      <w:r>
        <w:t xml:space="preserve"> där blodgivarna finns och fördela</w:t>
      </w:r>
      <w:r w:rsidR="00C571EA">
        <w:t>s</w:t>
      </w:r>
      <w:r>
        <w:t xml:space="preserve"> det till de verksamheter som har det största behovet, och därmed öka tillgången til</w:t>
      </w:r>
      <w:r w:rsidR="00C571EA">
        <w:t>l blod nationellt. Det kan också finnas andra</w:t>
      </w:r>
      <w:r>
        <w:t xml:space="preserve"> fördelar av en m</w:t>
      </w:r>
      <w:r w:rsidR="00C571EA">
        <w:t>er enhetlig organisation, som exempelvis erfarenhetsutbyte</w:t>
      </w:r>
      <w:r>
        <w:t xml:space="preserve"> och </w:t>
      </w:r>
      <w:r w:rsidR="00C571EA">
        <w:t xml:space="preserve">att kunna </w:t>
      </w:r>
      <w:r>
        <w:t>dra nytta av varandras kompetenser. Som et</w:t>
      </w:r>
      <w:r w:rsidR="00C571EA">
        <w:t xml:space="preserve">t exempel skulle </w:t>
      </w:r>
      <w:r>
        <w:t>vissa medicinska bedömningar</w:t>
      </w:r>
      <w:r w:rsidR="00C571EA">
        <w:t xml:space="preserve"> kunna göras</w:t>
      </w:r>
      <w:r>
        <w:t xml:space="preserve"> på distans vilket skulle underlätta då det är svårt att rekrytera specialister inom transfusionsmedicin, speciellt</w:t>
      </w:r>
      <w:r w:rsidR="00C571EA">
        <w:t xml:space="preserve"> till de mindre regionerna. Det kan också finnas</w:t>
      </w:r>
      <w:r>
        <w:t xml:space="preserve"> fördelar </w:t>
      </w:r>
      <w:r w:rsidR="00C571EA">
        <w:t xml:space="preserve">med en gemensam organisation </w:t>
      </w:r>
      <w:r>
        <w:t xml:space="preserve">vid upphandling av material och instrument, samt </w:t>
      </w:r>
      <w:r w:rsidR="00011496">
        <w:t>fördelarna</w:t>
      </w:r>
      <w:r>
        <w:t xml:space="preserve"> </w:t>
      </w:r>
      <w:r w:rsidR="00011496">
        <w:t>som</w:t>
      </w:r>
      <w:r>
        <w:t xml:space="preserve"> ett gemensamt IT-system</w:t>
      </w:r>
      <w:r w:rsidR="00C571EA">
        <w:t xml:space="preserve"> kan medföra för samarbete</w:t>
      </w:r>
      <w:r>
        <w:t xml:space="preserve">. Från början av år 2022 kommer alla blodverksamheter att ha samma laboratoriedatasystem, </w:t>
      </w:r>
      <w:proofErr w:type="spellStart"/>
      <w:r>
        <w:t>ProSang</w:t>
      </w:r>
      <w:proofErr w:type="spellEnd"/>
      <w:r>
        <w:t xml:space="preserve">. Dock har de olika </w:t>
      </w:r>
      <w:r w:rsidR="005F22A7">
        <w:t>system</w:t>
      </w:r>
      <w:r>
        <w:t xml:space="preserve">versioner eftersom detta har upphandlats separat av varje region. En centraliserad blodverksamhet skulle också underlätta vid kampanjer för att </w:t>
      </w:r>
      <w:r>
        <w:lastRenderedPageBreak/>
        <w:t>uppmuntra till blodgivning. I dagsläget gör rikstäckande kampanjer att potentiella blodgivare nekas att ge blod i de mindre regionerna eftersom de själva inte behöver fler blodgivare. Detta är negativt för donationsviljan i stort.</w:t>
      </w:r>
    </w:p>
    <w:p w14:paraId="7EA29A03" w14:textId="1F5BCAE9" w:rsidR="003D03B2" w:rsidRDefault="003D03B2" w:rsidP="00292456">
      <w:pPr>
        <w:pStyle w:val="SoSBrdtextindragfrstaraden"/>
        <w:rPr>
          <w:b/>
        </w:rPr>
      </w:pPr>
      <w:r>
        <w:t>Ett centraliserat system skulle potentiellt också kunna öka patientsäkerheten, då en viss underrapportering av transfusionsreaktioner</w:t>
      </w:r>
      <w:r w:rsidR="00E20C18">
        <w:rPr>
          <w:rStyle w:val="Fotnotsreferens"/>
        </w:rPr>
        <w:footnoteReference w:id="2"/>
      </w:r>
      <w:r>
        <w:t xml:space="preserve"> verkar förekomma, det är olika vid olika verksamheter hur mycket och vad man rapporterar. Möjligen skulle det också vara lättare att genomföra gemensamma rik</w:t>
      </w:r>
      <w:r w:rsidR="00DB191F">
        <w:t>tlinjer för hur mycket blod en patient bör ges</w:t>
      </w:r>
      <w:r w:rsidR="00292456">
        <w:t>.</w:t>
      </w:r>
    </w:p>
    <w:p w14:paraId="3EFB7075" w14:textId="77777777" w:rsidR="003D03B2" w:rsidRDefault="003D03B2" w:rsidP="003D03B2">
      <w:pPr>
        <w:pStyle w:val="SoSBrdtext"/>
        <w:rPr>
          <w:b/>
        </w:rPr>
      </w:pPr>
    </w:p>
    <w:p w14:paraId="4F160CA6" w14:textId="77777777" w:rsidR="003D03B2" w:rsidRPr="000250A1" w:rsidRDefault="003D03B2" w:rsidP="003D03B2">
      <w:pPr>
        <w:pStyle w:val="SoSRubrik3"/>
      </w:pPr>
      <w:bookmarkStart w:id="15" w:name="_Toc92730955"/>
      <w:r>
        <w:t xml:space="preserve">Införande av </w:t>
      </w:r>
      <w:proofErr w:type="spellStart"/>
      <w:r w:rsidRPr="000250A1">
        <w:t>Nucleic</w:t>
      </w:r>
      <w:proofErr w:type="spellEnd"/>
      <w:r w:rsidRPr="000250A1">
        <w:t xml:space="preserve"> </w:t>
      </w:r>
      <w:proofErr w:type="spellStart"/>
      <w:r w:rsidRPr="000250A1">
        <w:t>Acid</w:t>
      </w:r>
      <w:proofErr w:type="spellEnd"/>
      <w:r w:rsidRPr="000250A1">
        <w:t xml:space="preserve"> Test</w:t>
      </w:r>
      <w:r>
        <w:t xml:space="preserve"> (NAT-test) för screening av blodgivare</w:t>
      </w:r>
      <w:bookmarkEnd w:id="15"/>
    </w:p>
    <w:p w14:paraId="1BF01579" w14:textId="1F0B8544" w:rsidR="003D03B2" w:rsidRDefault="003D03B2" w:rsidP="003D03B2">
      <w:pPr>
        <w:pStyle w:val="SoSBrdtextindragfrstaraden"/>
        <w:ind w:firstLine="0"/>
      </w:pPr>
      <w:r>
        <w:t>S</w:t>
      </w:r>
      <w:r w:rsidRPr="00B900DB">
        <w:t xml:space="preserve">ocialstyrelsen har nyligen genomfört en översyn av myndighetens föreskrifter (SOSFS 2009:28) om blodverksamhet och Socialstyrelsens föreskrifter (SOSFS 2009:29) om transfusion av blodkomponenter. </w:t>
      </w:r>
      <w:r w:rsidRPr="00B13C27">
        <w:t xml:space="preserve">Ett </w:t>
      </w:r>
      <w:r>
        <w:t xml:space="preserve">av </w:t>
      </w:r>
      <w:r w:rsidRPr="00B13C27">
        <w:t>syfte</w:t>
      </w:r>
      <w:r>
        <w:t>na</w:t>
      </w:r>
      <w:r w:rsidRPr="00B13C27">
        <w:t xml:space="preserve"> med revideringen var att kunna bredda blodgivarpopulationen. Ett förslag</w:t>
      </w:r>
      <w:r>
        <w:t xml:space="preserve"> för </w:t>
      </w:r>
      <w:r w:rsidRPr="00181F4A">
        <w:t xml:space="preserve">att kunna göra detta var att införa </w:t>
      </w:r>
      <w:proofErr w:type="spellStart"/>
      <w:r w:rsidRPr="00181F4A">
        <w:t>Nucleic</w:t>
      </w:r>
      <w:proofErr w:type="spellEnd"/>
      <w:r w:rsidRPr="00181F4A">
        <w:t xml:space="preserve"> </w:t>
      </w:r>
      <w:proofErr w:type="spellStart"/>
      <w:r w:rsidRPr="00181F4A">
        <w:t>Acid</w:t>
      </w:r>
      <w:proofErr w:type="spellEnd"/>
      <w:r w:rsidRPr="00181F4A">
        <w:t xml:space="preserve"> Test (NAT-test) som komplement till dagens serologiska testning av blodgivare. Då NAT-testning är en käns</w:t>
      </w:r>
      <w:r w:rsidR="00AD22F8">
        <w:t xml:space="preserve">ligare analysmetod </w:t>
      </w:r>
      <w:r w:rsidR="00D02C04">
        <w:t xml:space="preserve">meds vilken man tidigare kan upptäcka eventuell smitta, </w:t>
      </w:r>
      <w:r w:rsidR="00AD22F8">
        <w:t>möjliggörs</w:t>
      </w:r>
      <w:r w:rsidRPr="00181F4A">
        <w:t xml:space="preserve"> korta</w:t>
      </w:r>
      <w:r w:rsidR="00AD22F8">
        <w:t>re</w:t>
      </w:r>
      <w:r w:rsidRPr="00181F4A">
        <w:t xml:space="preserve"> karenstiderna efter viss riskexposition</w:t>
      </w:r>
      <w:r>
        <w:rPr>
          <w:rStyle w:val="Fotnotsreferens"/>
        </w:rPr>
        <w:footnoteReference w:id="3"/>
      </w:r>
      <w:r w:rsidR="00D02C04">
        <w:t>. Detta</w:t>
      </w:r>
      <w:r>
        <w:t xml:space="preserve"> skulle </w:t>
      </w:r>
      <w:r w:rsidR="00D02C04">
        <w:t xml:space="preserve">därmed </w:t>
      </w:r>
      <w:r>
        <w:t>kunna</w:t>
      </w:r>
      <w:r w:rsidRPr="00181F4A">
        <w:t xml:space="preserve"> </w:t>
      </w:r>
      <w:r w:rsidR="00AD22F8">
        <w:t>medföra</w:t>
      </w:r>
      <w:r>
        <w:t xml:space="preserve"> en </w:t>
      </w:r>
      <w:r w:rsidRPr="00181F4A">
        <w:t>bredda</w:t>
      </w:r>
      <w:r>
        <w:t>d</w:t>
      </w:r>
      <w:r w:rsidRPr="00181F4A">
        <w:t xml:space="preserve"> blodgivarpopulation. Remissinstanserna var splittrade i frågan o</w:t>
      </w:r>
      <w:r>
        <w:t>m införande av NAT-testning, och</w:t>
      </w:r>
      <w:r w:rsidRPr="00181F4A">
        <w:t xml:space="preserve"> eftersom ett antal av regionerna och även </w:t>
      </w:r>
      <w:r>
        <w:t>Sveriges Kommuner och Regioner (</w:t>
      </w:r>
      <w:r w:rsidRPr="00181F4A">
        <w:t>SKR</w:t>
      </w:r>
      <w:r>
        <w:t>)</w:t>
      </w:r>
      <w:r w:rsidRPr="00181F4A">
        <w:t xml:space="preserve"> framförde starka invändningar, infördes inte NAT-testning i Sverige. </w:t>
      </w:r>
      <w:r w:rsidR="00F929C8">
        <w:t>Socialstyrelsen har gjort en framställan om ytterligare utredning av införande av NAT-tester till Socialdepartementet i mars 2021.</w:t>
      </w:r>
      <w:r w:rsidR="00F929C8">
        <w:rPr>
          <w:rStyle w:val="Fotnotsreferens"/>
        </w:rPr>
        <w:footnoteReference w:id="4"/>
      </w:r>
      <w:r w:rsidR="00F929C8">
        <w:t xml:space="preserve"> </w:t>
      </w:r>
    </w:p>
    <w:p w14:paraId="64747C46" w14:textId="77777777" w:rsidR="003D03B2" w:rsidRDefault="003D03B2" w:rsidP="003D03B2">
      <w:pPr>
        <w:pStyle w:val="SoSBrdtextindragfrstaraden"/>
      </w:pPr>
      <w:r w:rsidRPr="00181F4A">
        <w:t xml:space="preserve">Ur beredskapssynpunkt är det värt att överväga frågan om NAT-testning ytterligare, då det förutom potentialen att kunna öka blodgivarpopulationen även är en plattform som medger en snabb utökning av tester för nya smittor, som exempelvis West </w:t>
      </w:r>
      <w:proofErr w:type="spellStart"/>
      <w:r w:rsidRPr="00181F4A">
        <w:t>Nile</w:t>
      </w:r>
      <w:proofErr w:type="spellEnd"/>
      <w:r w:rsidRPr="00181F4A">
        <w:t xml:space="preserve"> Virus, som är en patogen som kommer allt längre norrut i Europa. Införande av NAT-testning skulle också innebära fördelar för samarbete internationellt; Sverige är ett av få länder som ännu inte infört NAT-testning som standard, vilket gör att andra länder inte anser blod från Sverige tillräckligt </w:t>
      </w:r>
      <w:proofErr w:type="spellStart"/>
      <w:r w:rsidRPr="00181F4A">
        <w:t>smittsäkert</w:t>
      </w:r>
      <w:proofErr w:type="spellEnd"/>
      <w:r w:rsidRPr="00181F4A">
        <w:t xml:space="preserve"> för utbytesprogram länderna emellan</w:t>
      </w:r>
      <w:r>
        <w:rPr>
          <w:rStyle w:val="Fotnotsreferens"/>
        </w:rPr>
        <w:footnoteReference w:id="5"/>
      </w:r>
      <w:r w:rsidRPr="00181F4A">
        <w:t xml:space="preserve">. Utifrån dessa aspekter skulle ett införande av NAT-tester kunna övervägas som ett sätt att genom förkortade karenstider efter olika riskexpositioner kunna bredda blodgivarpopulationen, både i den dagliga verksamheten och vid större kriser, samt att genom en mer flexibel testplattform vara förberedd inför de utmaningar som eventuella nya smittämnen innebär. </w:t>
      </w:r>
    </w:p>
    <w:p w14:paraId="63D087E8" w14:textId="77777777" w:rsidR="003D03B2" w:rsidRPr="00181F4A" w:rsidRDefault="003D03B2" w:rsidP="003D03B2">
      <w:pPr>
        <w:pStyle w:val="SoSBrdtextindragfrstaraden"/>
      </w:pPr>
      <w:r w:rsidRPr="00181F4A">
        <w:t>Sverige skulle också genom införande av NAT-test harmonisera med andra länders lagstiftning runt blodsäkerhet och därmed kunna samarbeta beträffande utbyte av blod och blodprodukter.</w:t>
      </w:r>
    </w:p>
    <w:p w14:paraId="1BB7B396" w14:textId="77777777" w:rsidR="003D03B2" w:rsidRPr="00181F4A" w:rsidRDefault="003D03B2" w:rsidP="003D03B2">
      <w:pPr>
        <w:pStyle w:val="SoSBrdtextindragfrstaraden"/>
      </w:pPr>
    </w:p>
    <w:p w14:paraId="71714719" w14:textId="77777777" w:rsidR="003D03B2" w:rsidRDefault="003D03B2" w:rsidP="003D03B2">
      <w:pPr>
        <w:pStyle w:val="SoSRubrik3"/>
      </w:pPr>
      <w:bookmarkStart w:id="17" w:name="_Toc92730956"/>
      <w:r w:rsidRPr="00DD78B5">
        <w:lastRenderedPageBreak/>
        <w:t>Utöka plasmagivningen</w:t>
      </w:r>
      <w:r>
        <w:t xml:space="preserve"> samt inhemsk produktion av frystorkad plasma och frysta trombocyter</w:t>
      </w:r>
      <w:bookmarkEnd w:id="17"/>
    </w:p>
    <w:p w14:paraId="21C18079" w14:textId="0A2EA733" w:rsidR="003D03B2" w:rsidRPr="00FA7FE7" w:rsidRDefault="0073093E" w:rsidP="003D03B2">
      <w:pPr>
        <w:pStyle w:val="SoSBrdtextindragfrstaraden"/>
        <w:ind w:firstLine="0"/>
      </w:pPr>
      <w:r>
        <w:t>Ett förslag som framkommit vid Socialstyrelsens omvärldsbevakning</w:t>
      </w:r>
      <w:r w:rsidR="003D03B2">
        <w:t xml:space="preserve"> för att snabbt kunna utöka blodgivarpopulationen vid behov är att uppmuntra blodverksamheterna att öka sin tappning av plasma för försäljning till läkemedelstil</w:t>
      </w:r>
      <w:r w:rsidR="008C0D1B">
        <w:t>lverkning. Detta innebär att det vid en kris finns</w:t>
      </w:r>
      <w:r w:rsidR="003D03B2">
        <w:t xml:space="preserve"> ett lager av plasma som var avsett för läkemedelstillverkning men som kan nyttjas för patienter. Plasma kan doneras med kortare intervall än </w:t>
      </w:r>
      <w:proofErr w:type="spellStart"/>
      <w:r w:rsidR="003D03B2">
        <w:t>helblod</w:t>
      </w:r>
      <w:proofErr w:type="spellEnd"/>
      <w:r w:rsidR="003D03B2">
        <w:t xml:space="preserve">, vilket gör att ett lager kan byggas upp relativt snabbt. Donatorer av plasma är smittestade och kan även donera </w:t>
      </w:r>
      <w:proofErr w:type="spellStart"/>
      <w:r w:rsidR="003D03B2">
        <w:t>helblod</w:t>
      </w:r>
      <w:proofErr w:type="spellEnd"/>
      <w:r w:rsidR="003D03B2">
        <w:t xml:space="preserve"> om behovet uppstår, och är därför en bra resurs om en bristsituation snabbt skulle uppstå. Värt att överväga är också att satsa på införandet av inhemsk produktion av frystorkad plasma som kan användas vid större kriser. Frystorkad plasma har fördelen att ha en lång hållbarhet, upp mot fyra år, och kan därmed lagerhållas en relativt lång tid. Frystorkad plasma är inte ett förstahandsval i sjukvården, men kan vara ett värdefullt komplement vid en större kris. Något som kan vara användbart både i kris och vid den vardagliga sjukvården är frysta trombocyter. Trombocyter används bland annat för att behandla blödningar, och de större sjukhusen brukar ha ett lager av dessa tillgängligt. De mindre sjukhusen har ibland inte tillgång till trombocyter då de har en kort hållbarhet, men om frysta trombocyter blev en del av standardutrustningen på sjukhusen så skulle det vara en fördel för patienterna, både i en större krissituation och i den vardagliga vården.</w:t>
      </w:r>
    </w:p>
    <w:p w14:paraId="176A5523" w14:textId="77777777" w:rsidR="003D03B2" w:rsidRPr="00C8259E" w:rsidRDefault="003D03B2" w:rsidP="003D03B2">
      <w:pPr>
        <w:pStyle w:val="SoSBrdtextindragfrstaraden"/>
      </w:pPr>
    </w:p>
    <w:p w14:paraId="6550D583" w14:textId="77777777" w:rsidR="003D03B2" w:rsidRDefault="003D03B2" w:rsidP="003D03B2">
      <w:pPr>
        <w:pStyle w:val="SoSBrdtextindragfrstaraden"/>
        <w:ind w:firstLine="0"/>
        <w:rPr>
          <w:b/>
        </w:rPr>
      </w:pPr>
    </w:p>
    <w:p w14:paraId="691BEC76" w14:textId="77777777" w:rsidR="003D03B2" w:rsidRDefault="003D03B2" w:rsidP="00E92ABB">
      <w:pPr>
        <w:pStyle w:val="SoSRubrik3"/>
      </w:pPr>
      <w:bookmarkStart w:id="18" w:name="_Toc92730957"/>
      <w:r w:rsidRPr="003D6954">
        <w:t>Riktad informationskampanj</w:t>
      </w:r>
      <w:r>
        <w:t>/underlätta för blodgivare</w:t>
      </w:r>
      <w:bookmarkEnd w:id="18"/>
    </w:p>
    <w:p w14:paraId="6F4B5DF4" w14:textId="671587C0" w:rsidR="003D03B2" w:rsidRDefault="003D03B2" w:rsidP="00E92ABB">
      <w:pPr>
        <w:pStyle w:val="SoSBrdtextindragfrstaraden"/>
        <w:ind w:firstLine="0"/>
      </w:pPr>
      <w:r>
        <w:t xml:space="preserve">Vid </w:t>
      </w:r>
      <w:r w:rsidR="0073093E">
        <w:t>Socialstyrelsens omvärldsbevakning</w:t>
      </w:r>
      <w:r>
        <w:t xml:space="preserve"> har framkommit att majoriteten av de som </w:t>
      </w:r>
      <w:proofErr w:type="spellStart"/>
      <w:r>
        <w:t>nyanmäler</w:t>
      </w:r>
      <w:proofErr w:type="spellEnd"/>
      <w:r>
        <w:t xml:space="preserve"> sig som blodgivare är unga kvinnor. Det är dock många av dem som inte är lämpliga som blodgiv</w:t>
      </w:r>
      <w:r w:rsidR="003879FC">
        <w:t>are, t.ex. pga. låga järnvärden och graviditet</w:t>
      </w:r>
      <w:r>
        <w:t xml:space="preserve">. Det skulle vara önskvärt med fler män, då de ofta har bra järnvärden, men de är enligt verksamheternas erfarenhet svårare att rekrytera. Ett sätt att rekrytera män skulle vara att samarbeta med Försvarsmakten genom att tillfråga alla som mönstrar om de kan tänka sig att bli blodgivare. Man har haft ett sådant samarbete tidigare, men då färre personer mönstrade lades detta ned. Eftersom fler personer återigen mönstrar kan det vara en möjlighet att återuppta detta. Blodcentralerna upplever att de som börjat lämna blod under värnplikten ofta fortsätter att vara lojala blodgivare under livet. </w:t>
      </w:r>
    </w:p>
    <w:p w14:paraId="396059D8" w14:textId="56D39943" w:rsidR="003D03B2" w:rsidRDefault="003D03B2" w:rsidP="003D03B2">
      <w:pPr>
        <w:pStyle w:val="SoSBrdtextindragfrstaraden"/>
      </w:pPr>
      <w:r>
        <w:t>Det</w:t>
      </w:r>
      <w:r w:rsidR="0073093E">
        <w:t xml:space="preserve"> har framkommit vid Socialstyrelsens omvärldsbevakning att det finns</w:t>
      </w:r>
      <w:r>
        <w:t xml:space="preserve"> en skillnad i villigheten att bli blodgivare mellan storstadsregionerna och de mindre regionerna. Många potentiella blodgivare i de större städerna har utöver en lägre donationsvilja dessutom en livsstil som gör att de tidvis hamnar under karens pga. exempelvis resor eller andra livsstilsfaktorer. Upplevelsen från verksamheterna är också att om en blodgivare nekats att ge blod vid något tillfälle innebär det ofta att de inte återkommer efter karenstidens slut. En stressigare livsstil i storstäderna gör också att man inte har tid för blodgivning. Blodgivare i de mindre regionerna upplevs också som mer lojala och </w:t>
      </w:r>
      <w:r>
        <w:lastRenderedPageBreak/>
        <w:t xml:space="preserve">fortsätter lämna blod under livet i större utsträckning. Ge Blod som är </w:t>
      </w:r>
      <w:r w:rsidRPr="00283E39">
        <w:t>regionblodcentralernas nätverk för PR &amp; Kommunikation</w:t>
      </w:r>
      <w:r>
        <w:t xml:space="preserve"> har haft en framgångsrik kampanj där man fått flertalet större företag att låta sina anställda lämna blod på arbetstid, vilket varit mycket uppskattat. Även att komma med blodbussar till arbetsplatserna har varit uppskattat, och med mer resurser till blodbussar skulle denna verksamhet kunna utökas mer. En kampanj specifikt riktad mot storstäderna kan vara en väg att gå, rikstäckande kampanjer gör att de mindre regionerna måste neka blodgivare att donera, vilket är negativt för donationsviljan i stort. Det skulle vara värdefullt att kunna satsa mer på kommunikationsinsatser, många vet inte att blod inte kan tillverkas på konstgjord väg utan måste doneras. </w:t>
      </w:r>
    </w:p>
    <w:p w14:paraId="40638537" w14:textId="34C2A7C0" w:rsidR="003D03B2" w:rsidRDefault="008C0D1B" w:rsidP="003D03B2">
      <w:pPr>
        <w:pStyle w:val="SoSBrdtextindragfrstaraden"/>
      </w:pPr>
      <w:r>
        <w:t>Ett exempel på ovan</w:t>
      </w:r>
      <w:r w:rsidR="003D03B2">
        <w:t xml:space="preserve"> är att västra Götalandsregionen köper blod för 13 miljoner kronor per år från andra regioner. En blodbuss kostar 7 miljoner, och VGR bedömer att de skulle kunna öka sina blodtappningar så pass mycket att det skulle löna sig att få medel till inköp av blodbussar.</w:t>
      </w:r>
    </w:p>
    <w:p w14:paraId="44FA6F57" w14:textId="77777777" w:rsidR="003D03B2" w:rsidRPr="004B2188" w:rsidRDefault="003D03B2" w:rsidP="003D03B2">
      <w:pPr>
        <w:pStyle w:val="SoSBrdtextindragfrstaraden"/>
      </w:pPr>
    </w:p>
    <w:p w14:paraId="568E26B5" w14:textId="77777777" w:rsidR="003D03B2" w:rsidRDefault="003D03B2" w:rsidP="00E92ABB">
      <w:pPr>
        <w:pStyle w:val="SoSRubrik3"/>
      </w:pPr>
      <w:bookmarkStart w:id="19" w:name="_Toc92730958"/>
      <w:r w:rsidRPr="00884BDB">
        <w:t>Blodgivare med andra modersmål än svenska</w:t>
      </w:r>
      <w:bookmarkEnd w:id="19"/>
    </w:p>
    <w:p w14:paraId="266FE03F" w14:textId="32EFBA8D" w:rsidR="003D03B2" w:rsidRPr="00172C7F" w:rsidRDefault="003D03B2" w:rsidP="00253536">
      <w:pPr>
        <w:pStyle w:val="SoSBrdtextindragfrstaraden"/>
        <w:rPr>
          <w:color w:val="1F497D"/>
        </w:rPr>
      </w:pPr>
      <w:r>
        <w:t xml:space="preserve">I nuläget måste en blodgivare kunna bra svenska för att bli blodgivare, detta för att blodcentralerna ska kunna säkerställa att blodgivaren förstått hälsodeklarationen. I Stockholm finns möjlighet till blodgivning på engelska, vilket varit uppskattat. </w:t>
      </w:r>
      <w:r w:rsidR="00172C7F" w:rsidRPr="00172C7F">
        <w:rPr>
          <w:color w:val="auto"/>
        </w:rPr>
        <w:t>För att utöka blodgivarpopulationen, inklusive de blodgrupper som är ovanligare hos icke infödda svenska blodgivare</w:t>
      </w:r>
      <w:r w:rsidR="00172C7F">
        <w:t>,</w:t>
      </w:r>
      <w:r>
        <w:t xml:space="preserve"> skulle det vara bra att satsa på att införa blodgivning på fler språk än svenska.</w:t>
      </w:r>
    </w:p>
    <w:p w14:paraId="2CFA9958" w14:textId="77777777" w:rsidR="003D03B2" w:rsidRDefault="003D03B2" w:rsidP="003D03B2">
      <w:pPr>
        <w:pStyle w:val="SoSBrdtextindragfrstaraden"/>
        <w:ind w:firstLine="0"/>
      </w:pPr>
    </w:p>
    <w:p w14:paraId="24D9913F" w14:textId="77777777" w:rsidR="003D03B2" w:rsidRDefault="003D03B2" w:rsidP="00E92ABB">
      <w:pPr>
        <w:pStyle w:val="SoSRubrik3"/>
      </w:pPr>
      <w:bookmarkStart w:id="20" w:name="_Toc92730959"/>
      <w:r w:rsidRPr="00197F43">
        <w:t>Översyn av karensregler</w:t>
      </w:r>
      <w:bookmarkEnd w:id="20"/>
    </w:p>
    <w:p w14:paraId="49A5F447" w14:textId="558A0CA3" w:rsidR="003D03B2" w:rsidRDefault="003D03B2" w:rsidP="003D03B2">
      <w:pPr>
        <w:pStyle w:val="SoSBrdtextindragfrstaraden"/>
        <w:ind w:firstLine="0"/>
      </w:pPr>
      <w:r w:rsidRPr="00197F43">
        <w:t>Blod</w:t>
      </w:r>
      <w:r>
        <w:t xml:space="preserve">verksamheterna upplever en del av karensreglerna i Socialstyrelsens föreskrifter som onödigt strikta, och skulle gärna se en översyn av dem. Många blodgivare som nekas att lämna blod p.g.a. karens återkommer sedan inte som blodgivare, speciellt om de upplever att karenstiderna är omotiverade. Många potentiella blodgivare hamnar idag i karens då det blir allt vanligare med tatueringar, fillers etc. Ett förslag är att </w:t>
      </w:r>
      <w:r w:rsidR="008C0D1B">
        <w:t>se över om de karenstider som finns</w:t>
      </w:r>
      <w:r>
        <w:t xml:space="preserve"> för blodgivare idag är medicinskt motiverade</w:t>
      </w:r>
      <w:r w:rsidR="00F929C8">
        <w:t>, något som kan rymmas i en översyn av Socialstyrelsens föreskrifter på området.</w:t>
      </w:r>
    </w:p>
    <w:p w14:paraId="7E993230" w14:textId="77777777" w:rsidR="00E92ABB" w:rsidRDefault="00E92ABB" w:rsidP="003D03B2">
      <w:pPr>
        <w:pStyle w:val="SoSBrdtextindragfrstaraden"/>
        <w:ind w:firstLine="0"/>
      </w:pPr>
    </w:p>
    <w:p w14:paraId="2CE2876F" w14:textId="77777777" w:rsidR="00863A4C" w:rsidRPr="00863A4C" w:rsidRDefault="00863A4C" w:rsidP="00863A4C">
      <w:pPr>
        <w:pStyle w:val="SoSRubrik1"/>
        <w:rPr>
          <w:color w:val="auto"/>
        </w:rPr>
      </w:pPr>
      <w:bookmarkStart w:id="21" w:name="_Toc92730960"/>
      <w:r w:rsidRPr="00863A4C">
        <w:rPr>
          <w:color w:val="auto"/>
        </w:rPr>
        <w:lastRenderedPageBreak/>
        <w:t xml:space="preserve">Förutsättningar för ett nationellt blodgivarregister                                                                                                                                                                                                                                                                                                                                                                                                                                                                                                                                                                                                                                                                                                                                                                                                                                                                                                                                           </w:t>
      </w:r>
    </w:p>
    <w:p w14:paraId="0972885E" w14:textId="77777777" w:rsidR="00863A4C" w:rsidRDefault="00863A4C" w:rsidP="00863A4C"/>
    <w:p w14:paraId="09E625DD" w14:textId="77777777" w:rsidR="00863A4C" w:rsidRDefault="00863A4C" w:rsidP="00863A4C">
      <w:pPr>
        <w:pStyle w:val="Rubrik2"/>
      </w:pPr>
    </w:p>
    <w:p w14:paraId="5D474D19" w14:textId="77777777" w:rsidR="00863A4C" w:rsidRDefault="00863A4C" w:rsidP="00863A4C">
      <w:pPr>
        <w:pStyle w:val="SoSRubrik2"/>
      </w:pPr>
      <w:r>
        <w:t>Bakgrund</w:t>
      </w:r>
    </w:p>
    <w:p w14:paraId="1365B2AB" w14:textId="77777777" w:rsidR="00863A4C" w:rsidRPr="00C51E4D" w:rsidRDefault="00863A4C" w:rsidP="00863A4C"/>
    <w:p w14:paraId="3F8403E4" w14:textId="0E77925A" w:rsidR="00863A4C" w:rsidRPr="00863A4C" w:rsidRDefault="00863A4C" w:rsidP="00863A4C">
      <w:pPr>
        <w:pStyle w:val="SoSBrdtextindragfrstaraden"/>
      </w:pPr>
      <w:r w:rsidRPr="00863A4C">
        <w:t>Vid fredstida kris, höjd beredskap eller krig ä</w:t>
      </w:r>
      <w:r w:rsidR="00253536">
        <w:t>r det av yttersta vikt</w:t>
      </w:r>
      <w:r w:rsidRPr="00863A4C">
        <w:t xml:space="preserve"> att det finns möjlighet att lämna blod oavsett var i landet man befinner sig eftersom människor oftast rör sig över regiongränser. Många arbetar inte där de bor </w:t>
      </w:r>
      <w:r w:rsidR="004F4095">
        <w:t xml:space="preserve">och många tillbringar också sin semester på annan ort. Vid en kris eller krig </w:t>
      </w:r>
      <w:r w:rsidRPr="00863A4C">
        <w:t>kommer</w:t>
      </w:r>
      <w:r w:rsidR="004F4095">
        <w:t xml:space="preserve"> befolkningen</w:t>
      </w:r>
      <w:r w:rsidRPr="00863A4C">
        <w:t xml:space="preserve"> att omförflyttas vid utrymnings- eller internflyktingssituationer</w:t>
      </w:r>
      <w:r w:rsidRPr="00253536">
        <w:rPr>
          <w:rStyle w:val="Fotnotsreferens"/>
        </w:rPr>
        <w:footnoteReference w:id="6"/>
      </w:r>
      <w:r w:rsidRPr="00863A4C">
        <w:t xml:space="preserve"> Det är därför viktigt att det finns ett fungerande system som möjliggör utbyte av blodgivaruppgifter mellan regionerna och som är lättillgängligt för blodverksamheterna för att blodtappningen vid krissituationer och krig så effektiv som möjligt ska möta behovet</w:t>
      </w:r>
      <w:r w:rsidR="005057C7">
        <w:t>, då snabb tillgång till rätt blodgrupp gynnar patienter och stärker patientsäkerheten</w:t>
      </w:r>
      <w:r w:rsidRPr="00863A4C">
        <w:t>.</w:t>
      </w:r>
    </w:p>
    <w:p w14:paraId="46961D64" w14:textId="77777777" w:rsidR="00863A4C" w:rsidRPr="00863A4C" w:rsidRDefault="00863A4C" w:rsidP="00863A4C">
      <w:pPr>
        <w:pStyle w:val="SoSBrdtextindragfrstaraden"/>
      </w:pPr>
      <w:r w:rsidRPr="00863A4C">
        <w:t xml:space="preserve">För att kunna donera blod måste den som vill ge blod vara godkänd och registrerad som blodgivare. En godkänd blodgivare finns registrerad i ett lokalt register hos hemmablodcentralen i sin hemregion. Regionerna har inte tillgång till information om blodgivare i varandras register, vilket innebär att en godkänd blodgivare inte kan lämna blod i en annan region utan att på nytt utredas som ny blodgivare (med undantag för s.k. gästblodgivning, se nedan). </w:t>
      </w:r>
    </w:p>
    <w:p w14:paraId="07F25DD2" w14:textId="77777777" w:rsidR="00863A4C" w:rsidRDefault="00863A4C" w:rsidP="00863A4C">
      <w:pPr>
        <w:pStyle w:val="SoSBrdtextindragfrstaraden"/>
        <w:ind w:firstLine="0"/>
      </w:pPr>
    </w:p>
    <w:p w14:paraId="7806089E" w14:textId="77777777" w:rsidR="00863A4C" w:rsidRDefault="00863A4C" w:rsidP="00863A4C">
      <w:pPr>
        <w:pStyle w:val="SoSRubrik3"/>
      </w:pPr>
      <w:r>
        <w:t>Gästblodgivning</w:t>
      </w:r>
    </w:p>
    <w:p w14:paraId="1A85929B" w14:textId="77777777" w:rsidR="00863A4C" w:rsidRDefault="00863A4C" w:rsidP="00863A4C">
      <w:pPr>
        <w:pStyle w:val="SoSRubrik3"/>
      </w:pPr>
    </w:p>
    <w:p w14:paraId="11560BDE" w14:textId="77777777" w:rsidR="00863A4C" w:rsidRDefault="00863A4C" w:rsidP="00863A4C">
      <w:pPr>
        <w:pStyle w:val="SoSBrdtextindragfrstaraden"/>
        <w:ind w:firstLine="0"/>
      </w:pPr>
      <w:r>
        <w:t>I dagsläget finns det möjlighet för en blodgivare att lämna blod i en annan region, en s.k. gästregion, utan att behöva bli godkänd på nytt i gästregionen. Svenska blodalliansen (</w:t>
      </w:r>
      <w:proofErr w:type="spellStart"/>
      <w:r>
        <w:t>SweBA</w:t>
      </w:r>
      <w:proofErr w:type="spellEnd"/>
      <w:r>
        <w:t>) är en ideell organisation som ska</w:t>
      </w:r>
      <w:r w:rsidRPr="00EE134F">
        <w:t xml:space="preserve"> verka för ett organisatoriskt och driftsmässigt samarbete mellan blodcentralerna i Sverige</w:t>
      </w:r>
      <w:r>
        <w:t xml:space="preserve">. Organisationen förvaltar ett system för gästblodgivning i form av mjukvarukomponenter, Samverkande Blodsystem (SBS). </w:t>
      </w:r>
      <w:r w:rsidRPr="00246E65">
        <w:t>S</w:t>
      </w:r>
      <w:r>
        <w:t xml:space="preserve">BS är </w:t>
      </w:r>
      <w:r w:rsidRPr="00246E65">
        <w:t>en teknisk funktion som möjliggör utbyte av blodgivaruppgifter mellan olika datasystem på blodcentraler i Sverige</w:t>
      </w:r>
      <w:r>
        <w:t xml:space="preserve"> som är anslutna till tjänsten. Genom SBS ska e</w:t>
      </w:r>
      <w:r w:rsidRPr="00F23077">
        <w:t>n blodgivare som är registrer</w:t>
      </w:r>
      <w:r>
        <w:t>ad på en blodcentral</w:t>
      </w:r>
      <w:r w:rsidRPr="00F23077">
        <w:t xml:space="preserve"> kunna lämna blod på en annan blodcentral utan att betraktas som helt ny</w:t>
      </w:r>
      <w:r>
        <w:t xml:space="preserve"> blodgivare</w:t>
      </w:r>
      <w:r w:rsidRPr="00F23077">
        <w:t xml:space="preserve"> och blodenheten </w:t>
      </w:r>
      <w:r>
        <w:t xml:space="preserve">ska i sin tur </w:t>
      </w:r>
      <w:r w:rsidRPr="00F23077">
        <w:t>kunna omhändertas på sedvanligt sätt</w:t>
      </w:r>
      <w:r>
        <w:t xml:space="preserve">. Förutsättningen för att en blodgivare ska kunna lämna blod i en annan region är dock att både hemregionen </w:t>
      </w:r>
      <w:r>
        <w:lastRenderedPageBreak/>
        <w:t xml:space="preserve">och gästregionen är anslutna till SBS. För närvarande har ungefär hälften av Sveriges regioner detta system installerat. </w:t>
      </w:r>
    </w:p>
    <w:p w14:paraId="2D120909" w14:textId="77777777" w:rsidR="00863A4C" w:rsidRDefault="00863A4C" w:rsidP="00863A4C">
      <w:pPr>
        <w:pStyle w:val="SoSBrdtextindragfrstaraden"/>
      </w:pPr>
      <w:r>
        <w:t>För att kunna lämna blod i en annan region måste gästblodcentralen (den blodcentral där givaren tillfälligt lämnar blod) få information om vissa uppgifter om blodgivaren för att kunna genomföra en blodtappning. Uppgifterna måste inhämtas från hemmablodcentralen (den blodcentral som givaren är registrerad vid) med samtycke från blodgivaren</w:t>
      </w:r>
      <w:r w:rsidRPr="00FC3C2E">
        <w:t xml:space="preserve"> </w:t>
      </w:r>
      <w:r>
        <w:t xml:space="preserve">på plats. Efter blodtappningen skickas uppgifter om givarens besök på gästblodcentralen till dennes hemmablodcentral. </w:t>
      </w:r>
    </w:p>
    <w:tbl>
      <w:tblPr>
        <w:tblStyle w:val="Tabellrutntljust"/>
        <w:tblpPr w:leftFromText="141" w:rightFromText="141" w:vertAnchor="text" w:horzAnchor="margin" w:tblpXSpec="center" w:tblpY="631"/>
        <w:tblW w:w="9209" w:type="dxa"/>
        <w:tblLook w:val="04A0" w:firstRow="1" w:lastRow="0" w:firstColumn="1" w:lastColumn="0" w:noHBand="0" w:noVBand="1"/>
      </w:tblPr>
      <w:tblGrid>
        <w:gridCol w:w="4673"/>
        <w:gridCol w:w="4536"/>
      </w:tblGrid>
      <w:tr w:rsidR="00253536" w14:paraId="61614CAB" w14:textId="77777777" w:rsidTr="00253536">
        <w:trPr>
          <w:trHeight w:val="1550"/>
        </w:trPr>
        <w:tc>
          <w:tcPr>
            <w:tcW w:w="4673" w:type="dxa"/>
          </w:tcPr>
          <w:p w14:paraId="4399AE7B" w14:textId="77777777" w:rsidR="00253536" w:rsidRPr="00131D9D" w:rsidRDefault="00253536" w:rsidP="00253536">
            <w:pPr>
              <w:pStyle w:val="SoSBrdtextindragfrstaraden"/>
              <w:spacing w:line="360" w:lineRule="auto"/>
              <w:ind w:firstLine="0"/>
              <w:rPr>
                <w:i/>
              </w:rPr>
            </w:pPr>
            <w:r w:rsidRPr="00131D9D">
              <w:rPr>
                <w:rFonts w:ascii="Times New Roman" w:eastAsia="Times New Roman" w:hAnsi="Times New Roman" w:cs="Times New Roman"/>
                <w:i/>
                <w:szCs w:val="20"/>
                <w:lang w:eastAsia="sv-SE"/>
              </w:rPr>
              <w:t>Information från hemmablodcentral</w:t>
            </w:r>
          </w:p>
          <w:p w14:paraId="79C78796"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Personnummer, namn och adress</w:t>
            </w:r>
          </w:p>
          <w:p w14:paraId="76A97CB3"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Nationella styr- och spärrkoder</w:t>
            </w:r>
            <w:r w:rsidRPr="00131D9D">
              <w:rPr>
                <w:rStyle w:val="Fotnotsreferens"/>
                <w:rFonts w:ascii="Times New Roman" w:eastAsia="Times New Roman" w:hAnsi="Times New Roman" w:cs="Times New Roman"/>
                <w:szCs w:val="20"/>
                <w:lang w:eastAsia="sv-SE"/>
              </w:rPr>
              <w:footnoteReference w:id="7"/>
            </w:r>
          </w:p>
          <w:p w14:paraId="5F21DEEE"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Förutsättningar för givning (de senaste fem årens tappningshistorik/ besöksstatistik)</w:t>
            </w:r>
          </w:p>
          <w:p w14:paraId="31722CB3" w14:textId="77777777" w:rsidR="00253536" w:rsidRPr="00131D9D" w:rsidRDefault="00253536" w:rsidP="00253536">
            <w:pPr>
              <w:pStyle w:val="SoSBrdtextindragfrstaraden"/>
              <w:numPr>
                <w:ilvl w:val="0"/>
                <w:numId w:val="20"/>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 xml:space="preserve">tappningsnummer, datum och tidpunkt, </w:t>
            </w:r>
          </w:p>
          <w:p w14:paraId="04299983" w14:textId="77777777" w:rsidR="00253536" w:rsidRPr="00131D9D" w:rsidRDefault="00253536" w:rsidP="00253536">
            <w:pPr>
              <w:pStyle w:val="SoSBrdtextindragfrstaraden"/>
              <w:ind w:left="944" w:firstLine="0"/>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typ av tappning, tappningsresultat och</w:t>
            </w:r>
          </w:p>
          <w:p w14:paraId="4AF2D8D5" w14:textId="77777777" w:rsidR="00253536" w:rsidRPr="00131D9D" w:rsidRDefault="00253536" w:rsidP="00253536">
            <w:pPr>
              <w:pStyle w:val="SoSBrdtextindragfrstaraden"/>
              <w:ind w:left="944" w:firstLine="0"/>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 xml:space="preserve">Hb-resultat, följdkod vid tappning, typ </w:t>
            </w:r>
          </w:p>
          <w:p w14:paraId="61753D97" w14:textId="77777777" w:rsidR="00253536" w:rsidRPr="00131D9D" w:rsidRDefault="00253536" w:rsidP="00253536">
            <w:pPr>
              <w:pStyle w:val="SoSBrdtextindragfrstaraden"/>
              <w:ind w:left="944" w:firstLine="0"/>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 xml:space="preserve">av värde, </w:t>
            </w:r>
            <w:proofErr w:type="spellStart"/>
            <w:r w:rsidRPr="00131D9D">
              <w:rPr>
                <w:rFonts w:ascii="Times New Roman" w:eastAsia="Times New Roman" w:hAnsi="Times New Roman" w:cs="Times New Roman"/>
                <w:szCs w:val="20"/>
                <w:lang w:eastAsia="sv-SE"/>
              </w:rPr>
              <w:t>Hb-värde</w:t>
            </w:r>
            <w:proofErr w:type="spellEnd"/>
            <w:r w:rsidRPr="00131D9D">
              <w:rPr>
                <w:rFonts w:ascii="Times New Roman" w:eastAsia="Times New Roman" w:hAnsi="Times New Roman" w:cs="Times New Roman"/>
                <w:szCs w:val="20"/>
                <w:lang w:eastAsia="sv-SE"/>
              </w:rPr>
              <w:t xml:space="preserve">, </w:t>
            </w:r>
            <w:proofErr w:type="spellStart"/>
            <w:r w:rsidRPr="00131D9D">
              <w:rPr>
                <w:rFonts w:ascii="Times New Roman" w:eastAsia="Times New Roman" w:hAnsi="Times New Roman" w:cs="Times New Roman"/>
                <w:szCs w:val="20"/>
                <w:lang w:eastAsia="sv-SE"/>
              </w:rPr>
              <w:t>Hb-värde</w:t>
            </w:r>
            <w:proofErr w:type="spellEnd"/>
            <w:r w:rsidRPr="00131D9D">
              <w:rPr>
                <w:rFonts w:ascii="Times New Roman" w:eastAsia="Times New Roman" w:hAnsi="Times New Roman" w:cs="Times New Roman"/>
                <w:szCs w:val="20"/>
                <w:lang w:eastAsia="sv-SE"/>
              </w:rPr>
              <w:t xml:space="preserve"> taget före eller efter</w:t>
            </w:r>
          </w:p>
          <w:p w14:paraId="69C8BE5E"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Blodgruppering</w:t>
            </w:r>
          </w:p>
          <w:p w14:paraId="553C074C" w14:textId="77777777" w:rsidR="00253536" w:rsidRPr="00131D9D" w:rsidRDefault="00253536" w:rsidP="00253536">
            <w:pPr>
              <w:pStyle w:val="SoSBrdtextindragfrstaraden"/>
              <w:numPr>
                <w:ilvl w:val="0"/>
                <w:numId w:val="20"/>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blodgruppsresultat, utförd vid blodcentral och datum</w:t>
            </w:r>
          </w:p>
          <w:p w14:paraId="7AF0BEB4"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Fenotyper (enligt ISBT128 standard)</w:t>
            </w:r>
          </w:p>
          <w:p w14:paraId="00D10644" w14:textId="77777777" w:rsidR="00253536" w:rsidRPr="00131D9D" w:rsidRDefault="00253536" w:rsidP="00253536">
            <w:pPr>
              <w:pStyle w:val="SoSBrdtextindragfrstaraden"/>
              <w:numPr>
                <w:ilvl w:val="0"/>
                <w:numId w:val="20"/>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Fenotyper och blodcentral</w:t>
            </w:r>
          </w:p>
          <w:p w14:paraId="6DEA1061"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HLA-typad</w:t>
            </w:r>
          </w:p>
          <w:p w14:paraId="4783437D" w14:textId="77777777" w:rsidR="00253536" w:rsidRDefault="00253536" w:rsidP="00253536">
            <w:pPr>
              <w:pStyle w:val="SoSBrdtextindragfrstaraden"/>
              <w:ind w:firstLine="0"/>
            </w:pPr>
          </w:p>
        </w:tc>
        <w:tc>
          <w:tcPr>
            <w:tcW w:w="4536" w:type="dxa"/>
          </w:tcPr>
          <w:p w14:paraId="11C0E728" w14:textId="77777777" w:rsidR="00253536" w:rsidRPr="00131D9D" w:rsidRDefault="00253536" w:rsidP="00253536">
            <w:pPr>
              <w:pStyle w:val="SoSBrdtextindragfrstaraden"/>
              <w:spacing w:line="360" w:lineRule="auto"/>
              <w:ind w:firstLine="0"/>
              <w:rPr>
                <w:rFonts w:ascii="Times New Roman" w:eastAsia="Times New Roman" w:hAnsi="Times New Roman" w:cs="Times New Roman"/>
                <w:i/>
                <w:szCs w:val="20"/>
                <w:lang w:eastAsia="sv-SE"/>
              </w:rPr>
            </w:pPr>
            <w:r w:rsidRPr="00131D9D">
              <w:rPr>
                <w:rFonts w:ascii="Times New Roman" w:eastAsia="Times New Roman" w:hAnsi="Times New Roman" w:cs="Times New Roman"/>
                <w:i/>
                <w:szCs w:val="20"/>
                <w:lang w:eastAsia="sv-SE"/>
              </w:rPr>
              <w:t>Resultat från gästblodcentral</w:t>
            </w:r>
          </w:p>
          <w:p w14:paraId="3070ADB8"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Personnummer, namn och adress</w:t>
            </w:r>
          </w:p>
          <w:p w14:paraId="6DC52A8E"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Information från besök</w:t>
            </w:r>
          </w:p>
          <w:p w14:paraId="3FFE8B10" w14:textId="77777777" w:rsidR="00253536" w:rsidRPr="00131D9D" w:rsidRDefault="00253536" w:rsidP="00253536">
            <w:pPr>
              <w:pStyle w:val="SoSBrdtextindragfrstaraden"/>
              <w:numPr>
                <w:ilvl w:val="0"/>
                <w:numId w:val="20"/>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 xml:space="preserve">tappningsnummer, datum och tidpunkt, typ av tappning, resultat, </w:t>
            </w:r>
          </w:p>
          <w:p w14:paraId="2329B9DC" w14:textId="77777777" w:rsidR="00253536" w:rsidRPr="00131D9D" w:rsidRDefault="00253536" w:rsidP="00253536">
            <w:pPr>
              <w:pStyle w:val="SoSBrdtextindragfrstaraden"/>
              <w:ind w:left="944" w:firstLine="0"/>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 xml:space="preserve">följdkod vid tappning, typ av värde, </w:t>
            </w:r>
            <w:proofErr w:type="spellStart"/>
            <w:r w:rsidRPr="00131D9D">
              <w:rPr>
                <w:rFonts w:ascii="Times New Roman" w:eastAsia="Times New Roman" w:hAnsi="Times New Roman" w:cs="Times New Roman"/>
                <w:szCs w:val="20"/>
                <w:lang w:eastAsia="sv-SE"/>
              </w:rPr>
              <w:t>Hb-värde</w:t>
            </w:r>
            <w:proofErr w:type="spellEnd"/>
            <w:r w:rsidRPr="00131D9D">
              <w:rPr>
                <w:rFonts w:ascii="Times New Roman" w:eastAsia="Times New Roman" w:hAnsi="Times New Roman" w:cs="Times New Roman"/>
                <w:szCs w:val="20"/>
                <w:lang w:eastAsia="sv-SE"/>
              </w:rPr>
              <w:t xml:space="preserve">, </w:t>
            </w:r>
            <w:proofErr w:type="spellStart"/>
            <w:r w:rsidRPr="00131D9D">
              <w:rPr>
                <w:rFonts w:ascii="Times New Roman" w:eastAsia="Times New Roman" w:hAnsi="Times New Roman" w:cs="Times New Roman"/>
                <w:szCs w:val="20"/>
                <w:lang w:eastAsia="sv-SE"/>
              </w:rPr>
              <w:t>Hb-värde</w:t>
            </w:r>
            <w:proofErr w:type="spellEnd"/>
            <w:r w:rsidRPr="00131D9D">
              <w:rPr>
                <w:rFonts w:ascii="Times New Roman" w:eastAsia="Times New Roman" w:hAnsi="Times New Roman" w:cs="Times New Roman"/>
                <w:szCs w:val="20"/>
                <w:lang w:eastAsia="sv-SE"/>
              </w:rPr>
              <w:t xml:space="preserve"> taget före eller efter</w:t>
            </w:r>
          </w:p>
          <w:p w14:paraId="12CBE69F"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Blodgruppering</w:t>
            </w:r>
          </w:p>
          <w:p w14:paraId="335B0FFE" w14:textId="77777777" w:rsidR="00253536" w:rsidRPr="00131D9D" w:rsidRDefault="00253536" w:rsidP="00253536">
            <w:pPr>
              <w:pStyle w:val="SoSBrdtextindragfrstaraden"/>
              <w:numPr>
                <w:ilvl w:val="0"/>
                <w:numId w:val="20"/>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blodgruppsresultat (indirekt genom att givaren frisläpps</w:t>
            </w:r>
            <w:r w:rsidRPr="00131D9D">
              <w:rPr>
                <w:rStyle w:val="Fotnotsreferens"/>
                <w:lang w:eastAsia="sv-SE"/>
              </w:rPr>
              <w:footnoteReference w:id="8"/>
            </w:r>
            <w:r w:rsidRPr="00131D9D">
              <w:rPr>
                <w:rFonts w:ascii="Times New Roman" w:eastAsia="Times New Roman" w:hAnsi="Times New Roman" w:cs="Times New Roman"/>
                <w:szCs w:val="20"/>
                <w:lang w:eastAsia="sv-SE"/>
              </w:rPr>
              <w:t>), utförd vid</w:t>
            </w:r>
          </w:p>
          <w:p w14:paraId="47815FE2" w14:textId="77777777" w:rsidR="00253536" w:rsidRPr="00131D9D" w:rsidRDefault="00253536" w:rsidP="00253536">
            <w:pPr>
              <w:pStyle w:val="SoSBrdtextindragfrstaraden"/>
              <w:numPr>
                <w:ilvl w:val="0"/>
                <w:numId w:val="20"/>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 xml:space="preserve"> blodcentral och datum</w:t>
            </w:r>
          </w:p>
          <w:p w14:paraId="49484E6C" w14:textId="77777777" w:rsidR="00253536" w:rsidRPr="00131D9D" w:rsidRDefault="00253536" w:rsidP="00253536">
            <w:pPr>
              <w:pStyle w:val="SoSBrdtextindragfrstaraden"/>
              <w:numPr>
                <w:ilvl w:val="0"/>
                <w:numId w:val="19"/>
              </w:numPr>
              <w:spacing w:line="264" w:lineRule="atLeast"/>
              <w:rPr>
                <w:rFonts w:ascii="Times New Roman" w:eastAsia="Times New Roman" w:hAnsi="Times New Roman" w:cs="Times New Roman"/>
                <w:szCs w:val="20"/>
                <w:lang w:eastAsia="sv-SE"/>
              </w:rPr>
            </w:pPr>
            <w:r w:rsidRPr="00131D9D">
              <w:rPr>
                <w:rFonts w:ascii="Times New Roman" w:eastAsia="Times New Roman" w:hAnsi="Times New Roman" w:cs="Times New Roman"/>
                <w:szCs w:val="20"/>
                <w:lang w:eastAsia="sv-SE"/>
              </w:rPr>
              <w:t>Undersökningsresultat (resultat förs tillbaka till hemmablodcentalen indirekt genom att givaren frisläpps eller inte)</w:t>
            </w:r>
          </w:p>
          <w:p w14:paraId="75F55F98" w14:textId="77777777" w:rsidR="00253536" w:rsidRPr="001A2C47" w:rsidRDefault="00253536" w:rsidP="00253536">
            <w:pPr>
              <w:pStyle w:val="SoSBrdtextindragfrstaraden"/>
              <w:ind w:left="944" w:firstLine="0"/>
            </w:pPr>
          </w:p>
        </w:tc>
      </w:tr>
    </w:tbl>
    <w:p w14:paraId="27F15964" w14:textId="7773DFAE" w:rsidR="00863A4C" w:rsidRDefault="00253536" w:rsidP="00863A4C">
      <w:pPr>
        <w:pStyle w:val="SoSBrdtextindragfrstaraden"/>
        <w:spacing w:after="240"/>
      </w:pPr>
      <w:r>
        <w:t xml:space="preserve"> </w:t>
      </w:r>
      <w:r w:rsidR="00863A4C">
        <w:t>Följande uppgifter överförs mellan blodcentralerna idag.</w:t>
      </w:r>
    </w:p>
    <w:p w14:paraId="70FF10DD" w14:textId="77777777" w:rsidR="00863A4C" w:rsidRDefault="00863A4C" w:rsidP="00863A4C">
      <w:pPr>
        <w:pStyle w:val="SoSBrdtextindragfrstaraden"/>
      </w:pPr>
    </w:p>
    <w:p w14:paraId="702A413D" w14:textId="77777777" w:rsidR="00863A4C" w:rsidRDefault="00863A4C" w:rsidP="00863A4C">
      <w:pPr>
        <w:pStyle w:val="SoSBrdtextindragfrstaraden"/>
      </w:pPr>
    </w:p>
    <w:p w14:paraId="2015A33E" w14:textId="77777777" w:rsidR="00863A4C" w:rsidRDefault="00863A4C" w:rsidP="00863A4C">
      <w:pPr>
        <w:pStyle w:val="SoSBrdtextindragfrstaraden"/>
      </w:pPr>
      <w:r>
        <w:t xml:space="preserve">Kortfattat fungerar det på så sätt att vid mottagning på gästblodcentralen skickas en fråga till hemmablodcentralen med namn och personnummer på blodgivaren via en krypterad förbindelse, samtidigt som gästgivarens samtycke markeras i CSAM </w:t>
      </w:r>
      <w:proofErr w:type="spellStart"/>
      <w:r>
        <w:t>ProSang</w:t>
      </w:r>
      <w:proofErr w:type="spellEnd"/>
      <w:r>
        <w:rPr>
          <w:rStyle w:val="Fotnotsreferens"/>
        </w:rPr>
        <w:footnoteReference w:id="9"/>
      </w:r>
      <w:r>
        <w:t xml:space="preserve"> (härefter </w:t>
      </w:r>
      <w:proofErr w:type="spellStart"/>
      <w:r>
        <w:t>ProSang</w:t>
      </w:r>
      <w:proofErr w:type="spellEnd"/>
      <w:r>
        <w:t xml:space="preserve">), dvs. det system för dokumentation som blodverksamheterna använder. Uppgifterna skickas från hemmablodcentralen till gästblodcentralen. Hemmablodcentralen meddelas </w:t>
      </w:r>
      <w:r>
        <w:lastRenderedPageBreak/>
        <w:t xml:space="preserve">att förfrågan skett från </w:t>
      </w:r>
      <w:r w:rsidRPr="005C5736">
        <w:rPr>
          <w:i/>
        </w:rPr>
        <w:t>Blodcentral X</w:t>
      </w:r>
      <w:r>
        <w:rPr>
          <w:i/>
        </w:rPr>
        <w:t xml:space="preserve"> </w:t>
      </w:r>
      <w:r>
        <w:t xml:space="preserve">och att definierade uppgifter har lämnats till gästblodcentralen (fråga + svar). När gästblodcentralen har genomfört blodtappningen registreras och uppdateras tappningsuppgifterna på blodgivarens namn i </w:t>
      </w:r>
      <w:proofErr w:type="spellStart"/>
      <w:r>
        <w:t>ProSang</w:t>
      </w:r>
      <w:proofErr w:type="spellEnd"/>
      <w:r>
        <w:t xml:space="preserve">. </w:t>
      </w:r>
      <w:r w:rsidRPr="00AD64F5">
        <w:rPr>
          <w:color w:val="auto"/>
        </w:rPr>
        <w:t xml:space="preserve">Vid tappningsregistreringen får hemmablodcentralen ett informationsmeddelande om att tappningsregistrering har skett och givaren sätts i karantän i blodsystemet på hemmablodcentralen. </w:t>
      </w:r>
    </w:p>
    <w:p w14:paraId="79245285" w14:textId="77777777" w:rsidR="00863A4C" w:rsidRDefault="00863A4C" w:rsidP="00863A4C">
      <w:pPr>
        <w:pStyle w:val="SoSBrdtextindragfrstaraden"/>
      </w:pPr>
      <w:r>
        <w:t xml:space="preserve">Ingen information om blodgivarna röjs för </w:t>
      </w:r>
      <w:proofErr w:type="spellStart"/>
      <w:r>
        <w:t>SweBA</w:t>
      </w:r>
      <w:proofErr w:type="spellEnd"/>
      <w:r>
        <w:t xml:space="preserve">, utan all registrering sker i </w:t>
      </w:r>
      <w:proofErr w:type="spellStart"/>
      <w:r>
        <w:t>ProSang</w:t>
      </w:r>
      <w:proofErr w:type="spellEnd"/>
      <w:r>
        <w:t xml:space="preserve"> och de lokala registren vid blodcentralerna. All registrering sker vidare på blodgivarens personnummer och syns i blodgivarens historik. I historiken går det även att se vad andra blodcentraler har gjort för förfrågningar om gästblodgivning på blodgivaren och om givaren gett blod på en annan blodcentral. </w:t>
      </w:r>
    </w:p>
    <w:p w14:paraId="017E9FB9" w14:textId="77777777" w:rsidR="00863A4C" w:rsidRDefault="00863A4C" w:rsidP="00863A4C">
      <w:pPr>
        <w:pStyle w:val="SoSBrdtextindragfrstaraden"/>
        <w:ind w:firstLine="0"/>
      </w:pPr>
    </w:p>
    <w:p w14:paraId="71C222CB" w14:textId="77777777" w:rsidR="00863A4C" w:rsidRDefault="00863A4C" w:rsidP="00863A4C">
      <w:pPr>
        <w:pStyle w:val="SoSBrdtextindragfrstaraden"/>
        <w:ind w:firstLine="0"/>
      </w:pPr>
    </w:p>
    <w:p w14:paraId="3FBDB47E" w14:textId="77777777" w:rsidR="00863A4C" w:rsidRDefault="00863A4C" w:rsidP="00863A4C">
      <w:pPr>
        <w:pStyle w:val="SoSRubrik3"/>
      </w:pPr>
      <w:r>
        <w:t>Blodverksamheternas behov av ett gemensamt system</w:t>
      </w:r>
    </w:p>
    <w:p w14:paraId="6BC2169E" w14:textId="77777777" w:rsidR="00863A4C" w:rsidRDefault="00863A4C" w:rsidP="00863A4C">
      <w:pPr>
        <w:pStyle w:val="Brdtext"/>
      </w:pPr>
      <w:r>
        <w:t>Eftersom alla regioner inte är anslutna till SBS går det för närvarande inte att lämna blod var som helst i Sverige, vilket är otillfredsställande ur ett beredskapsperspektiv.</w:t>
      </w:r>
      <w:r w:rsidRPr="009412AF">
        <w:t xml:space="preserve"> </w:t>
      </w:r>
      <w:r>
        <w:t xml:space="preserve">Det har vidare framkommit vid den </w:t>
      </w:r>
      <w:r w:rsidRPr="009412AF">
        <w:t>omvärldsbevakning som Socialstyrelsen</w:t>
      </w:r>
      <w:r>
        <w:t xml:space="preserve"> gjort,</w:t>
      </w:r>
      <w:r w:rsidRPr="009412AF">
        <w:t xml:space="preserve"> att SBS sakna</w:t>
      </w:r>
      <w:r>
        <w:t>r teknisk kapacitet att göra</w:t>
      </w:r>
      <w:r w:rsidRPr="009412AF">
        <w:t xml:space="preserve"> fler</w:t>
      </w:r>
      <w:r>
        <w:t>a</w:t>
      </w:r>
      <w:r w:rsidRPr="009412AF">
        <w:t xml:space="preserve"> anrop/förfrågningar</w:t>
      </w:r>
      <w:r>
        <w:t xml:space="preserve"> samtidigt</w:t>
      </w:r>
      <w:r w:rsidRPr="009412AF">
        <w:t xml:space="preserve"> </w:t>
      </w:r>
      <w:r>
        <w:t>i den omfattning</w:t>
      </w:r>
      <w:r w:rsidRPr="009412AF">
        <w:t xml:space="preserve"> som skulle behövas vid krissituationer eller krig.</w:t>
      </w:r>
      <w:r>
        <w:t xml:space="preserve"> </w:t>
      </w:r>
    </w:p>
    <w:p w14:paraId="0FEAAB3B" w14:textId="470EF839" w:rsidR="00863A4C" w:rsidRPr="005E051F" w:rsidRDefault="00863A4C" w:rsidP="00863A4C">
      <w:pPr>
        <w:pStyle w:val="Brdtextmedindrag"/>
      </w:pPr>
      <w:r w:rsidRPr="005E051F">
        <w:t>En förutsättning för att utveckla detta system är alltså att säkerställa att SBS har den kapacitet som krävs vid en situation med många samtidiga anrop, och att säkerställa att tillräckliga resurser finns för att upprätthålla systemet vid en kris. Vidare har vid Socialstyrelsens omvärldsbevakning framkommit att enbart ett register över godkända blodgivare inte är tillräckligt, utan att det även är önskvärt att registret även visar uppgifter om hur mycket blod av olika blodgrupper som finns att tillgå i de olika regionerna då det skulle underlätta för verksamheterna både i den dagliga verksamheten och vid kris eller krig, eftersom de i nuläget måste ringa till varandra med förfrågningar om de</w:t>
      </w:r>
      <w:r w:rsidR="002E79EE">
        <w:t xml:space="preserve"> själva skulle få små blodlager, något som kan fördröja tillgänglighet av blod till patienter och därmed ge en försämrad patientsäkerhet.</w:t>
      </w:r>
    </w:p>
    <w:p w14:paraId="38B7A56A" w14:textId="77777777" w:rsidR="00863A4C" w:rsidRPr="00AB03CB" w:rsidRDefault="00863A4C" w:rsidP="00863A4C"/>
    <w:p w14:paraId="7851A913" w14:textId="77777777" w:rsidR="00863A4C" w:rsidRDefault="00863A4C" w:rsidP="00863A4C">
      <w:pPr>
        <w:pStyle w:val="SoSRubrik2"/>
      </w:pPr>
      <w:r>
        <w:t>Gällande rätt</w:t>
      </w:r>
    </w:p>
    <w:p w14:paraId="6FD0285F" w14:textId="77777777" w:rsidR="00863A4C" w:rsidRDefault="00863A4C" w:rsidP="00863A4C">
      <w:pPr>
        <w:pStyle w:val="Rubrik3"/>
      </w:pPr>
    </w:p>
    <w:p w14:paraId="1FA9C910" w14:textId="77777777" w:rsidR="00863A4C" w:rsidRPr="00F52CDA" w:rsidRDefault="00863A4C" w:rsidP="00863A4C">
      <w:pPr>
        <w:pStyle w:val="SoSRubrik3"/>
      </w:pPr>
      <w:r w:rsidRPr="00F52CDA">
        <w:t>Inledning</w:t>
      </w:r>
    </w:p>
    <w:p w14:paraId="4F932ABA" w14:textId="77777777" w:rsidR="00863A4C" w:rsidRDefault="00863A4C" w:rsidP="00863A4C">
      <w:pPr>
        <w:pStyle w:val="SoSBrdtextindragfrstaraden"/>
        <w:ind w:firstLine="0"/>
        <w:rPr>
          <w:sz w:val="14"/>
          <w:szCs w:val="14"/>
        </w:rPr>
      </w:pPr>
      <w:r>
        <w:t xml:space="preserve">Det finns ett antal lagar och förordningar, samt omfattande myndighetsföreskrifter som reglerar hanteringen av blod i hälso- och sjukvården. </w:t>
      </w:r>
      <w:r w:rsidRPr="00E97850">
        <w:t>I lagen (2006:496) om blodsäkerhet och den tillhörande förordningen (2006:497)</w:t>
      </w:r>
      <w:r>
        <w:t xml:space="preserve"> om blodsäkerhet finns de grundläggande</w:t>
      </w:r>
      <w:r w:rsidRPr="00E97850">
        <w:t xml:space="preserve"> bestämmelser</w:t>
      </w:r>
      <w:r>
        <w:t>na</w:t>
      </w:r>
      <w:r w:rsidRPr="00E97850">
        <w:t xml:space="preserve"> om blodverksamhet </w:t>
      </w:r>
      <w:r w:rsidRPr="00E97850">
        <w:lastRenderedPageBreak/>
        <w:t xml:space="preserve">vid blodcentraler. </w:t>
      </w:r>
      <w:r w:rsidRPr="005A06FD">
        <w:rPr>
          <w:szCs w:val="23"/>
        </w:rPr>
        <w:t>Lagen innehåller bestämmelser om bl.a. tillstånd</w:t>
      </w:r>
      <w:r w:rsidRPr="002F2345">
        <w:rPr>
          <w:szCs w:val="23"/>
        </w:rPr>
        <w:t xml:space="preserve"> </w:t>
      </w:r>
      <w:r>
        <w:rPr>
          <w:szCs w:val="23"/>
        </w:rPr>
        <w:t>och återkallelse</w:t>
      </w:r>
      <w:r w:rsidRPr="005A06FD">
        <w:rPr>
          <w:szCs w:val="23"/>
        </w:rPr>
        <w:t xml:space="preserve"> av tillstånd, tillsyn, behandling av personuppgifter och förande av register, uppgiftsskyldighet</w:t>
      </w:r>
      <w:r>
        <w:rPr>
          <w:szCs w:val="23"/>
        </w:rPr>
        <w:t>,</w:t>
      </w:r>
      <w:r w:rsidRPr="005A06FD">
        <w:rPr>
          <w:szCs w:val="23"/>
        </w:rPr>
        <w:t xml:space="preserve"> ty</w:t>
      </w:r>
      <w:r>
        <w:rPr>
          <w:szCs w:val="23"/>
        </w:rPr>
        <w:t>stnadsplikt</w:t>
      </w:r>
      <w:r w:rsidRPr="005A06FD">
        <w:rPr>
          <w:szCs w:val="23"/>
        </w:rPr>
        <w:t xml:space="preserve"> </w:t>
      </w:r>
      <w:r>
        <w:rPr>
          <w:szCs w:val="23"/>
        </w:rPr>
        <w:t>och straffansvar</w:t>
      </w:r>
      <w:r w:rsidRPr="005A06FD">
        <w:rPr>
          <w:szCs w:val="23"/>
        </w:rPr>
        <w:t>.</w:t>
      </w:r>
      <w:r>
        <w:t xml:space="preserve"> Regleringen grundar sig på Europaparlamentets och rådets direktiv 2002/98/EG av den 27 januari 2003 om fastställande av kvalitets- och säkerhetsnormer för insamling, kontroll, framställning, förvaring och distribution av humanblod och blodkomponenter och om ändring av direktiv 2001/83/EG. Därtill finns flera genomförandedirektiv.</w:t>
      </w:r>
      <w:r>
        <w:rPr>
          <w:rStyle w:val="Fotnotsreferens"/>
        </w:rPr>
        <w:footnoteReference w:id="10"/>
      </w:r>
      <w:r>
        <w:rPr>
          <w:sz w:val="14"/>
          <w:szCs w:val="14"/>
        </w:rPr>
        <w:t xml:space="preserve"> </w:t>
      </w:r>
    </w:p>
    <w:p w14:paraId="5BDAF916" w14:textId="77777777" w:rsidR="00863A4C" w:rsidRDefault="00863A4C" w:rsidP="00863A4C">
      <w:pPr>
        <w:pStyle w:val="SoSBrdtextindragfrstaraden"/>
      </w:pPr>
      <w:r w:rsidRPr="001C2755">
        <w:t>Den verksamhet som omfattas av lagen om blodsäkerhet och tillhörande förordning omfattas</w:t>
      </w:r>
      <w:r>
        <w:t xml:space="preserve"> i vissa delar även av de mer allmänna bestämmelserna om </w:t>
      </w:r>
      <w:r w:rsidRPr="001C2755">
        <w:t>hälso- och sjukvårdsverksamhet i hälso- o</w:t>
      </w:r>
      <w:r>
        <w:t>ch sjukvårdslagen (2017:30),</w:t>
      </w:r>
      <w:r w:rsidRPr="001C2755">
        <w:t xml:space="preserve"> </w:t>
      </w:r>
      <w:proofErr w:type="spellStart"/>
      <w:r w:rsidRPr="001C2755">
        <w:t>patientlagen</w:t>
      </w:r>
      <w:proofErr w:type="spellEnd"/>
      <w:r w:rsidRPr="001C2755">
        <w:t xml:space="preserve"> (2014:821) och patientsäkerhetslagen (2010:659), PSL</w:t>
      </w:r>
      <w:r>
        <w:t>,</w:t>
      </w:r>
      <w:r w:rsidRPr="001C2755">
        <w:t xml:space="preserve"> </w:t>
      </w:r>
      <w:r>
        <w:t>samt</w:t>
      </w:r>
      <w:r w:rsidRPr="001C2755">
        <w:t xml:space="preserve"> andra författningar som är nära sammankopplade</w:t>
      </w:r>
      <w:r>
        <w:t xml:space="preserve"> till</w:t>
      </w:r>
      <w:r w:rsidRPr="001C2755">
        <w:t xml:space="preserve"> området blodhantering och blodsäkerhet.</w:t>
      </w:r>
      <w:r>
        <w:t xml:space="preserve"> Dessa gäller sådan verksamhet som avser hälso- och sjukvård av mottagaren, men kan även gälla givaren om denne t.ex. vårdas för komplikationer eller behöver en remiss till följd av att man upptäcker avvikelser under hälsokontrollerna.</w:t>
      </w:r>
      <w:r w:rsidRPr="001C2755">
        <w:t xml:space="preserve"> </w:t>
      </w:r>
      <w:r>
        <w:t>I fråga om samtycke till donation är också l</w:t>
      </w:r>
      <w:r w:rsidRPr="001C2755">
        <w:t>agen (1995:831) om transplantation m.m</w:t>
      </w:r>
      <w:r>
        <w:t>. tillämplig</w:t>
      </w:r>
      <w:r w:rsidRPr="001C2755">
        <w:t xml:space="preserve">. </w:t>
      </w:r>
      <w:r w:rsidRPr="00802EE6">
        <w:t xml:space="preserve">Socialstyrelsen har </w:t>
      </w:r>
      <w:r>
        <w:t xml:space="preserve">även </w:t>
      </w:r>
      <w:r w:rsidRPr="00802EE6">
        <w:t>utfärdat två föreskrifter som berör hanteringen av blod i hälso- och sjukvården, Socialstyrelsens föreskrifter (SOSFS 2009:28) om blodverksamhet och Socialstyrelsens föreskrifter (SOSFS 2009:29) om transfusion av blodkomponenter.</w:t>
      </w:r>
      <w:r>
        <w:t xml:space="preserve"> </w:t>
      </w:r>
    </w:p>
    <w:p w14:paraId="7A92A0D2" w14:textId="77777777" w:rsidR="00863A4C" w:rsidRPr="00BF4F6D" w:rsidRDefault="00863A4C" w:rsidP="00863A4C">
      <w:pPr>
        <w:pStyle w:val="SoSBrdtextindragfrstaraden"/>
        <w:rPr>
          <w:sz w:val="14"/>
          <w:szCs w:val="14"/>
        </w:rPr>
      </w:pPr>
      <w:r>
        <w:t xml:space="preserve">Förutom författningarna på hälso- och sjukvårdsområdet finns även annan relevant reglering som blodverksamheterna måste ta hänsyn till vid verksamheternas hantering av personuppgifter. Det gäller dataskyddsregleringen i </w:t>
      </w:r>
      <w:r w:rsidRPr="001346B1">
        <w:t>Europaparlamentets och rådets förordning (EU) 2016/679 av den 27 april 2016 om skydd för fysiska personer med avseende på behandling av personuppgifter och om det fria flödet av sådana uppgifter och om upphävande av direktiv 95/46/EG (allmän dataskyddsförordning),</w:t>
      </w:r>
      <w:r>
        <w:t xml:space="preserve"> härefter kallad för EU:s dataskyddsförordning,</w:t>
      </w:r>
      <w:r w:rsidRPr="001346B1">
        <w:t xml:space="preserve"> och </w:t>
      </w:r>
      <w:r w:rsidRPr="001346B1">
        <w:rPr>
          <w:shd w:val="clear" w:color="auto" w:fill="FFFFFF"/>
        </w:rPr>
        <w:t>lagen (2018:218) med kompletterande bestämmelser till EU:s dataskyddsförordning (dataskyddslagen)</w:t>
      </w:r>
      <w:r>
        <w:rPr>
          <w:shd w:val="clear" w:color="auto" w:fill="FFFFFF"/>
        </w:rPr>
        <w:t>. För mottagare av blod och blodkomponenter gäller också bestämmelserna i patientdatalagen (2008:355). I sammanhanget är även regleringen enligt offentlighets- och sekretesslagen (2009:400), OSL, och bestämmelserna om tystnadsplikt i patientsäkerhetslagen relevant.</w:t>
      </w:r>
    </w:p>
    <w:p w14:paraId="6630A4B4" w14:textId="77777777" w:rsidR="00863A4C" w:rsidRDefault="00863A4C" w:rsidP="00863A4C">
      <w:pPr>
        <w:pStyle w:val="SoSBrdtextindragfrstaraden"/>
      </w:pPr>
      <w:r>
        <w:t>Nedan följer en kort redogörelse för de författningar som reglerar blodcentralernas verksamhet och deras lokala register med information om bl.a. godkända blodgivare.</w:t>
      </w:r>
    </w:p>
    <w:p w14:paraId="732B7683" w14:textId="77777777" w:rsidR="00863A4C" w:rsidRPr="00C51E4D" w:rsidRDefault="00863A4C" w:rsidP="00863A4C"/>
    <w:p w14:paraId="656E79B9" w14:textId="77777777" w:rsidR="00863A4C" w:rsidRPr="00C51E4D" w:rsidRDefault="00863A4C" w:rsidP="00863A4C"/>
    <w:p w14:paraId="5A408B0B" w14:textId="77777777" w:rsidR="00863A4C" w:rsidRPr="00F52CDA" w:rsidRDefault="00863A4C" w:rsidP="00863A4C">
      <w:pPr>
        <w:pStyle w:val="SoSRubrik3"/>
      </w:pPr>
      <w:r w:rsidRPr="00F52CDA">
        <w:lastRenderedPageBreak/>
        <w:t>Lagen om blodsäkerhet och förordningen om blodsäkerhet</w:t>
      </w:r>
    </w:p>
    <w:p w14:paraId="792300DB" w14:textId="77777777" w:rsidR="00863A4C" w:rsidRPr="00863A4C" w:rsidRDefault="00863A4C" w:rsidP="00863A4C">
      <w:pPr>
        <w:pStyle w:val="SoSRubrik3"/>
        <w:rPr>
          <w:i/>
        </w:rPr>
      </w:pPr>
      <w:r w:rsidRPr="00863A4C">
        <w:rPr>
          <w:i/>
        </w:rPr>
        <w:t xml:space="preserve">Syfte och </w:t>
      </w:r>
      <w:r w:rsidRPr="00863A4C">
        <w:rPr>
          <w:i/>
          <w:sz w:val="25"/>
          <w:szCs w:val="25"/>
        </w:rPr>
        <w:t>tillämpningsområde</w:t>
      </w:r>
    </w:p>
    <w:p w14:paraId="4EE4C5EC" w14:textId="77777777" w:rsidR="00863A4C" w:rsidRDefault="00863A4C" w:rsidP="00863A4C">
      <w:pPr>
        <w:pStyle w:val="SoSBrdtextindragfrstaraden"/>
        <w:ind w:firstLine="0"/>
      </w:pPr>
      <w:r w:rsidRPr="00E97850">
        <w:t xml:space="preserve">Syftet med lagen </w:t>
      </w:r>
      <w:r>
        <w:t xml:space="preserve">om blodsäkerhet </w:t>
      </w:r>
      <w:r w:rsidRPr="00E97850">
        <w:t>är att skydda människors hälsa när blod och blodkomponenter från människor hanteras vid transfusion eller</w:t>
      </w:r>
      <w:r>
        <w:t xml:space="preserve"> tillverkning av läkemedel eller produkter som omfattas av Europaparlamentets och rådets förordning (EU) 2017/745 av den 5 april 2017 om medicintekniska produkter</w:t>
      </w:r>
      <w:r>
        <w:rPr>
          <w:rStyle w:val="Fotnotsreferens"/>
        </w:rPr>
        <w:footnoteReference w:id="11"/>
      </w:r>
      <w:r>
        <w:t xml:space="preserve">. </w:t>
      </w:r>
    </w:p>
    <w:p w14:paraId="3989CC05" w14:textId="77777777" w:rsidR="00863A4C" w:rsidRDefault="00863A4C" w:rsidP="00863A4C">
      <w:pPr>
        <w:pStyle w:val="SoSBrdtextindragfrstaraden"/>
      </w:pPr>
      <w:r>
        <w:rPr>
          <w:szCs w:val="23"/>
        </w:rPr>
        <w:t xml:space="preserve">Lagen är tillämplig vid </w:t>
      </w:r>
      <w:r w:rsidRPr="007C06B8">
        <w:rPr>
          <w:i/>
        </w:rPr>
        <w:t>insamling</w:t>
      </w:r>
      <w:r>
        <w:t xml:space="preserve"> och </w:t>
      </w:r>
      <w:r w:rsidRPr="007C06B8">
        <w:rPr>
          <w:i/>
        </w:rPr>
        <w:t>kontroll</w:t>
      </w:r>
      <w:r>
        <w:t xml:space="preserve"> av blod och blodkomponenter oavsett om dessa ska användas vid transfusion eller tillverkning av läkemedel och medicintekniska produkter. Den är även tillämplig när det gäller den efterföljande hanteringen av blod och blodkomponenter, dvs. </w:t>
      </w:r>
      <w:r w:rsidRPr="007C06B8">
        <w:rPr>
          <w:i/>
        </w:rPr>
        <w:t>framställning</w:t>
      </w:r>
      <w:r>
        <w:t xml:space="preserve">, </w:t>
      </w:r>
      <w:r w:rsidRPr="007C06B8">
        <w:rPr>
          <w:i/>
        </w:rPr>
        <w:t>förvaring</w:t>
      </w:r>
      <w:r>
        <w:t xml:space="preserve"> och </w:t>
      </w:r>
      <w:r w:rsidRPr="007C06B8">
        <w:rPr>
          <w:i/>
        </w:rPr>
        <w:t>distribution</w:t>
      </w:r>
      <w:r>
        <w:t xml:space="preserve"> när de är avsedda att användas vid transfusion. När blod hanteras i avsikt att användas vid transfusion är verksamheten att betrakta som hälso- och sjukvård enligt hälso- och sjukvårdslagen.</w:t>
      </w:r>
      <w:r>
        <w:rPr>
          <w:rStyle w:val="Fotnotsreferens"/>
        </w:rPr>
        <w:footnoteReference w:id="12"/>
      </w:r>
      <w:r>
        <w:t xml:space="preserve"> Verksamhet som avser </w:t>
      </w:r>
      <w:r>
        <w:rPr>
          <w:i/>
        </w:rPr>
        <w:t>in</w:t>
      </w:r>
      <w:r w:rsidRPr="007476CB">
        <w:rPr>
          <w:i/>
        </w:rPr>
        <w:t>samling</w:t>
      </w:r>
      <w:r>
        <w:t xml:space="preserve"> och </w:t>
      </w:r>
      <w:r w:rsidRPr="007476CB">
        <w:rPr>
          <w:i/>
        </w:rPr>
        <w:t>kontroll</w:t>
      </w:r>
      <w:r>
        <w:t xml:space="preserve"> av blod och blodkomponenter som ska användas vid tillverkning av läkemedel och medicintekniska produkter ska dock inte betraktas som hälso- och sjukvård enligt hälso- och sjukvårdslagen eftersom sådan verksamhet inte primärt har vård- eller behandlingssyfte.</w:t>
      </w:r>
      <w:r>
        <w:rPr>
          <w:rStyle w:val="Fotnotsreferens"/>
        </w:rPr>
        <w:footnoteReference w:id="13"/>
      </w:r>
    </w:p>
    <w:p w14:paraId="7664BB1F" w14:textId="77777777" w:rsidR="00863A4C" w:rsidRDefault="00863A4C" w:rsidP="00863A4C">
      <w:pPr>
        <w:pStyle w:val="SoSBrdtextindragfrstaraden"/>
      </w:pPr>
      <w:r>
        <w:t xml:space="preserve">Lagen är inte tillämplig på sådan efterföljande hantering av blod och blodkomponenter, dvs. </w:t>
      </w:r>
      <w:r>
        <w:rPr>
          <w:i/>
        </w:rPr>
        <w:t>framställning</w:t>
      </w:r>
      <w:r>
        <w:t xml:space="preserve">, </w:t>
      </w:r>
      <w:r>
        <w:rPr>
          <w:i/>
        </w:rPr>
        <w:t>förvaring</w:t>
      </w:r>
      <w:r>
        <w:t xml:space="preserve"> och </w:t>
      </w:r>
      <w:r>
        <w:rPr>
          <w:i/>
        </w:rPr>
        <w:t>distribution</w:t>
      </w:r>
      <w:r>
        <w:t xml:space="preserve">, som är avsedd </w:t>
      </w:r>
      <w:r w:rsidRPr="00E97850">
        <w:rPr>
          <w:szCs w:val="23"/>
        </w:rPr>
        <w:t xml:space="preserve">att användas som råvara vid </w:t>
      </w:r>
      <w:r>
        <w:rPr>
          <w:szCs w:val="23"/>
        </w:rPr>
        <w:t>tillverkning av läkemedel och medicintekniska produkter</w:t>
      </w:r>
      <w:r>
        <w:t xml:space="preserve">. I det fallet gäller istället läkemedelslagen (2015:315) respektive förordningen (EU) 2017/745 och lagen (2021:600) med kompletterande bestämmelser till EU:s förordningar om medicintekniska produkter </w:t>
      </w:r>
      <w:r w:rsidRPr="00527053">
        <w:t xml:space="preserve">(4 § lagen om blodsäkerhet, </w:t>
      </w:r>
      <w:r w:rsidRPr="00527053">
        <w:rPr>
          <w:szCs w:val="23"/>
        </w:rPr>
        <w:t xml:space="preserve">se även 1 kap. 3 § </w:t>
      </w:r>
      <w:r w:rsidRPr="00527053">
        <w:t>SOSFS 2009:28)</w:t>
      </w:r>
      <w:r w:rsidRPr="00527053">
        <w:rPr>
          <w:szCs w:val="23"/>
        </w:rPr>
        <w:t>.</w:t>
      </w:r>
      <w:r>
        <w:rPr>
          <w:szCs w:val="23"/>
        </w:rPr>
        <w:t xml:space="preserve"> </w:t>
      </w:r>
    </w:p>
    <w:p w14:paraId="116B9644" w14:textId="77777777" w:rsidR="00863A4C" w:rsidRPr="00E61D90" w:rsidRDefault="00863A4C" w:rsidP="00863A4C">
      <w:pPr>
        <w:pStyle w:val="SoSBrdtextindragfrstaraden"/>
      </w:pPr>
      <w:r>
        <w:t xml:space="preserve">Lagen är inte heller tillämplig på hantering av enbart blodstamceller sedan dessa har utvunnits ur blodet </w:t>
      </w:r>
      <w:r w:rsidRPr="00527053">
        <w:rPr>
          <w:szCs w:val="23"/>
        </w:rPr>
        <w:t xml:space="preserve">(3 § lagen om blodsäkerhet, se även 1 kap. 3 § </w:t>
      </w:r>
      <w:r w:rsidRPr="00527053">
        <w:t>SOSFS 2009:28</w:t>
      </w:r>
      <w:r w:rsidRPr="00527053">
        <w:rPr>
          <w:szCs w:val="23"/>
        </w:rPr>
        <w:t>).</w:t>
      </w:r>
      <w:r>
        <w:rPr>
          <w:szCs w:val="23"/>
        </w:rPr>
        <w:t xml:space="preserve"> Då är istället </w:t>
      </w:r>
      <w:r w:rsidRPr="001C2755">
        <w:rPr>
          <w:szCs w:val="22"/>
        </w:rPr>
        <w:t>lagen (2008:286) om kvalitets- och säkerhetsnormer vid hantering av mänskliga vävnader</w:t>
      </w:r>
      <w:r>
        <w:t xml:space="preserve"> och celler tillämplig.</w:t>
      </w:r>
    </w:p>
    <w:p w14:paraId="677067DF" w14:textId="77777777" w:rsidR="00863A4C" w:rsidRDefault="00863A4C" w:rsidP="00863A4C">
      <w:pPr>
        <w:pStyle w:val="Kommentarer"/>
      </w:pPr>
    </w:p>
    <w:p w14:paraId="5E4DC68D" w14:textId="77777777" w:rsidR="00863A4C" w:rsidRPr="00606091" w:rsidRDefault="00863A4C" w:rsidP="00863A4C">
      <w:pPr>
        <w:pStyle w:val="SoSRubrik3"/>
        <w:rPr>
          <w:i/>
        </w:rPr>
      </w:pPr>
      <w:r w:rsidRPr="00863A4C">
        <w:rPr>
          <w:i/>
        </w:rPr>
        <w:t>Förande av register och behandling av personuppgifter</w:t>
      </w:r>
    </w:p>
    <w:p w14:paraId="68C708AE" w14:textId="77777777" w:rsidR="00863A4C" w:rsidRDefault="00863A4C" w:rsidP="00863A4C">
      <w:pPr>
        <w:pStyle w:val="SoSBrdtextindragfrstaraden"/>
        <w:ind w:firstLine="0"/>
      </w:pPr>
      <w:r>
        <w:t xml:space="preserve">I </w:t>
      </w:r>
      <w:r w:rsidRPr="00E97850">
        <w:t>lagen om blodsäkerhet anges att den som har tillstånd att bedriva blodverksamhet ska föra ett register med uppgifter</w:t>
      </w:r>
      <w:r>
        <w:t xml:space="preserve"> </w:t>
      </w:r>
      <w:r w:rsidRPr="00E97850">
        <w:t>om blodverksamheten, blodgivare, blodmottagare och gjorda</w:t>
      </w:r>
      <w:r>
        <w:t xml:space="preserve"> </w:t>
      </w:r>
      <w:r w:rsidRPr="00E97850">
        <w:t>kontroller av blod och blodkomponenter</w:t>
      </w:r>
      <w:r>
        <w:t xml:space="preserve"> (16 §)</w:t>
      </w:r>
      <w:r w:rsidRPr="00E97850">
        <w:t xml:space="preserve">. </w:t>
      </w:r>
      <w:r>
        <w:t xml:space="preserve">Lagens bestämmelser om behandling av personuppgifter i registret kompletterar EU:s dataskyddsförordning. Vidare gäller dataskyddslagen så länge det </w:t>
      </w:r>
      <w:r>
        <w:lastRenderedPageBreak/>
        <w:t>inte finns någon avvikande bestämmelse i lagen om blodsäkerhet eller föreskrifter som meddelats i anslutning till den lagen (5 §).</w:t>
      </w:r>
    </w:p>
    <w:p w14:paraId="36A4E5E9" w14:textId="77777777" w:rsidR="00863A4C" w:rsidRDefault="00863A4C" w:rsidP="00863A4C">
      <w:pPr>
        <w:pStyle w:val="SoSBrdtextindragfrstaraden"/>
      </w:pPr>
      <w:r w:rsidRPr="00E97850">
        <w:t>Registret får föras med hj</w:t>
      </w:r>
      <w:r>
        <w:t>älp av automatiserad behandling och den som innehar tillstånd att bedriva blodverksamhet är också personuppgiftsansvarig för registret. Registret får ha till ändamål endast att göra det möjligt att spåra blod och blodkomponenter och att förhindra att smittat blod och blodkomponenter överförs till människor</w:t>
      </w:r>
      <w:r w:rsidRPr="00F628FB">
        <w:t xml:space="preserve"> </w:t>
      </w:r>
      <w:r>
        <w:t xml:space="preserve">(16 § första stycket). </w:t>
      </w:r>
      <w:r w:rsidRPr="00E45FD4">
        <w:t>Det är alltså inte tillåtet att behandla personuppgifter i registret för andra ändamål</w:t>
      </w:r>
      <w:r>
        <w:t xml:space="preserve"> än de som anges i bestämmelsen. I förarbetena till lagen anges att blodcentralerna måste sörja för att systemet för spårbarhet garanterar att varje enskild blodgivning och typ av blodkomponenter går att identifiera utan att det sker något misstag. Genom ett väl utvecklat system för spårbarhet kan upprepning av allvarliga avvikande händelser undvikas och andra blodcentraler/sjukhus kan varnas i de fall dessa kan drabbas.</w:t>
      </w:r>
      <w:r>
        <w:rPr>
          <w:rStyle w:val="Fotnotsreferens"/>
        </w:rPr>
        <w:footnoteReference w:id="14"/>
      </w:r>
      <w:r>
        <w:t xml:space="preserve"> Uppgifterna ska således vara spårbara från blodgivaren via blodenheten till blodmottagaren, och omvänt från mottagaren via blodenheten till givaren (se 5 kap. 5 § SOSFS 2009:28). En vårdinrättning som har tagit emot blod eller blodkomponenter för transfusion är därför skyldig att lämna uppgifter om blodmottagarens identitet till den blodcentral som levererade enheterna för att blodcentralen ska kunna registrera denna uppgift (se 16 § andra stycket 4 och 16 a § lagen om blodsäkerhet samt 5 kap. 3 § SOSFS 2009:29). </w:t>
      </w:r>
    </w:p>
    <w:p w14:paraId="6F14E84B"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Innehåll och gallring i registret</w:t>
      </w:r>
    </w:p>
    <w:p w14:paraId="10207E7C" w14:textId="77777777" w:rsidR="00863A4C" w:rsidRDefault="00863A4C" w:rsidP="00863A4C">
      <w:pPr>
        <w:pStyle w:val="SoSBrdtextindragfrstaraden"/>
        <w:ind w:firstLine="0"/>
      </w:pPr>
      <w:r>
        <w:t xml:space="preserve">Uppgifter om varje utförd blodtappning ska i nära anslutning till tappningen registreras i registret (6 kap. 22 § SOSFS 2009:28). </w:t>
      </w:r>
    </w:p>
    <w:p w14:paraId="49A10AA0" w14:textId="77777777" w:rsidR="00863A4C" w:rsidRDefault="00863A4C" w:rsidP="00863A4C">
      <w:pPr>
        <w:pStyle w:val="SoSBrdtextindragfrstaraden"/>
      </w:pPr>
      <w:r w:rsidRPr="00E45FD4">
        <w:t>Registret får i fråga om personuppgifter</w:t>
      </w:r>
      <w:r>
        <w:t xml:space="preserve"> </w:t>
      </w:r>
      <w:r w:rsidRPr="00E45FD4">
        <w:t>endast innehålla uppgifter om blodgivarens identitet, blodgivarens</w:t>
      </w:r>
      <w:r>
        <w:t xml:space="preserve"> </w:t>
      </w:r>
      <w:r w:rsidRPr="00E45FD4">
        <w:t>uppgivna sjukdomshistoria, resultatet av gjorda kontroller av</w:t>
      </w:r>
      <w:r>
        <w:t xml:space="preserve"> </w:t>
      </w:r>
      <w:r w:rsidRPr="00E45FD4">
        <w:t>blodgivarens blod och blodkomponenter, samt blodmottagarens</w:t>
      </w:r>
      <w:r>
        <w:t xml:space="preserve"> </w:t>
      </w:r>
      <w:r w:rsidRPr="00E45FD4">
        <w:t>identitet</w:t>
      </w:r>
      <w:r>
        <w:t xml:space="preserve"> (16 § andra stycket)</w:t>
      </w:r>
      <w:r w:rsidRPr="00E45FD4">
        <w:t xml:space="preserve">. </w:t>
      </w:r>
      <w:r>
        <w:t>Med sjukdomshistoria avses den information om givarens hälsa som framgår av den hälsodeklaration som givaren lämnar inför varje givning och den information givaren lämnar vid den kompletterande intervju som görs i samband med givningen.</w:t>
      </w:r>
      <w:r>
        <w:rPr>
          <w:rStyle w:val="Fotnotsreferens"/>
        </w:rPr>
        <w:footnoteReference w:id="15"/>
      </w:r>
      <w:r>
        <w:t xml:space="preserve"> Även resultatet av gjorda kontroller av blod och blodkomponenter anses vara personuppgifter då uppgift om det testade blodet kan kopplas till den som har lämnat blodet.</w:t>
      </w:r>
      <w:r>
        <w:rPr>
          <w:rStyle w:val="Fotnotsreferens"/>
        </w:rPr>
        <w:footnoteReference w:id="16"/>
      </w:r>
      <w:r w:rsidRPr="003B0097">
        <w:t xml:space="preserve"> </w:t>
      </w:r>
    </w:p>
    <w:p w14:paraId="42218314" w14:textId="77777777" w:rsidR="00863A4C" w:rsidRDefault="00863A4C" w:rsidP="00863A4C">
      <w:pPr>
        <w:pStyle w:val="SoSBrdtextindragfrstaraden"/>
      </w:pPr>
      <w:r w:rsidRPr="00E45FD4">
        <w:t>Regeringen, eller den myndighet regeringen bestämmer,</w:t>
      </w:r>
      <w:r>
        <w:t xml:space="preserve"> </w:t>
      </w:r>
      <w:r w:rsidRPr="00E45FD4">
        <w:t>får meddela närmare föreskrifter</w:t>
      </w:r>
      <w:r>
        <w:t xml:space="preserve"> </w:t>
      </w:r>
      <w:r w:rsidRPr="00E45FD4">
        <w:t>om vilka uppgifter registret ska innehålla</w:t>
      </w:r>
      <w:r>
        <w:t xml:space="preserve"> (20 §)</w:t>
      </w:r>
      <w:r w:rsidRPr="00E45FD4">
        <w:t>. Regeringen har delegerat till Inspektionen för</w:t>
      </w:r>
      <w:r>
        <w:t xml:space="preserve"> </w:t>
      </w:r>
      <w:r w:rsidRPr="00E45FD4">
        <w:t>vård och omsorg respektive Läkemedelsverket att meddela närmare</w:t>
      </w:r>
      <w:r>
        <w:t xml:space="preserve"> </w:t>
      </w:r>
      <w:r w:rsidRPr="00E45FD4">
        <w:t>föreskrifter om registrets innehåll</w:t>
      </w:r>
      <w:r>
        <w:t xml:space="preserve"> (</w:t>
      </w:r>
      <w:r w:rsidRPr="00E45FD4">
        <w:t>7 a § förordningen om blodsäkerhet</w:t>
      </w:r>
      <w:r>
        <w:t>)</w:t>
      </w:r>
      <w:r w:rsidRPr="00E45FD4">
        <w:t>.</w:t>
      </w:r>
      <w:r>
        <w:t xml:space="preserve"> I Socialstyrelsens föreskrifter om blodverksamhet och om transfusion av blodkomponenter finns sådana närmare föreskrifter om registrets innehåll (se 5 kap. 1</w:t>
      </w:r>
      <w:r w:rsidRPr="007523CA">
        <w:t>–</w:t>
      </w:r>
      <w:r>
        <w:t xml:space="preserve">3 </w:t>
      </w:r>
      <w:proofErr w:type="gramStart"/>
      <w:r>
        <w:t>§§</w:t>
      </w:r>
      <w:proofErr w:type="gramEnd"/>
      <w:r>
        <w:t xml:space="preserve"> SOSFS 2009:28 och 5 kap. 3 § SOSFS 2009:29).</w:t>
      </w:r>
      <w:r>
        <w:rPr>
          <w:rStyle w:val="Fotnotsreferens"/>
        </w:rPr>
        <w:footnoteReference w:id="17"/>
      </w:r>
      <w:r>
        <w:t xml:space="preserve"> </w:t>
      </w:r>
    </w:p>
    <w:p w14:paraId="1AAE5FC6" w14:textId="77777777" w:rsidR="00863A4C" w:rsidRDefault="00863A4C" w:rsidP="00863A4C">
      <w:pPr>
        <w:pStyle w:val="SoSBrdtextindragfrstaraden"/>
      </w:pPr>
      <w:r>
        <w:lastRenderedPageBreak/>
        <w:t>Uppgifterna i registret gallras 30 år efter införandet (16 § tredje stycket). Närmare föreskrifter får dock meddelas om bevarande under längre tid än så (7 b § förordningen om blodsäkerhet, se även 5 kap. 4 § SOSFS 2009:28).</w:t>
      </w:r>
      <w:r>
        <w:rPr>
          <w:rStyle w:val="Fotnotsreferens"/>
        </w:rPr>
        <w:footnoteReference w:id="18"/>
      </w:r>
    </w:p>
    <w:p w14:paraId="2E9CE9AD" w14:textId="77777777" w:rsidR="00863A4C" w:rsidRPr="00AC53D4" w:rsidRDefault="00863A4C" w:rsidP="00863A4C"/>
    <w:p w14:paraId="54BD54E8"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Information till blodgivaren</w:t>
      </w:r>
    </w:p>
    <w:p w14:paraId="7E6F37EC" w14:textId="77777777" w:rsidR="00863A4C" w:rsidRDefault="00863A4C" w:rsidP="00863A4C">
      <w:pPr>
        <w:autoSpaceDE w:val="0"/>
        <w:autoSpaceDN w:val="0"/>
        <w:adjustRightInd w:val="0"/>
      </w:pPr>
      <w:r w:rsidRPr="00866D69">
        <w:t>En blodgivare som vill g</w:t>
      </w:r>
      <w:r>
        <w:t>e blod ska informeras om bl.a. b</w:t>
      </w:r>
      <w:r w:rsidRPr="00866D69">
        <w:t>lodtappning</w:t>
      </w:r>
      <w:r>
        <w:t xml:space="preserve">, </w:t>
      </w:r>
      <w:r w:rsidRPr="00866D69">
        <w:t>betydelsen av att ge blod, vilka medicinska uppgifter som hämtas in och vilka laboratorieundersökningar och andra undersökningar som utförs inför och</w:t>
      </w:r>
      <w:r>
        <w:t xml:space="preserve"> </w:t>
      </w:r>
      <w:r w:rsidRPr="00866D69">
        <w:t xml:space="preserve">vid varje blodtappning samt att uppgifterna och resultaten av undersökningarna </w:t>
      </w:r>
      <w:r>
        <w:t>inte lämnas ut till obehöriga (bilaga 3 i</w:t>
      </w:r>
      <w:r w:rsidRPr="00866D69">
        <w:t xml:space="preserve"> SOSFS 2009:28</w:t>
      </w:r>
      <w:r>
        <w:t>). Information ska även ges om vilka uppgifter om blodgivaren som ska registreras och den behandling av personuppgifter som får göras enligt lagen om blodsäkerhet (6 kap. 1 § SOSFS 2009:28). Informationen som ges ska uppfylla kraven enligt dataskyddsregleringen (se bl.a. artiklarna 13</w:t>
      </w:r>
      <w:r w:rsidRPr="007523CA">
        <w:t>–</w:t>
      </w:r>
      <w:r>
        <w:t>15 dataskyddsförordningen och 5 kap. 1</w:t>
      </w:r>
      <w:r w:rsidRPr="007523CA">
        <w:t>–</w:t>
      </w:r>
      <w:r>
        <w:t xml:space="preserve">2 </w:t>
      </w:r>
      <w:proofErr w:type="gramStart"/>
      <w:r>
        <w:t>§§</w:t>
      </w:r>
      <w:proofErr w:type="gramEnd"/>
      <w:r>
        <w:t xml:space="preserve"> dataskyddslagen).</w:t>
      </w:r>
    </w:p>
    <w:p w14:paraId="0BC14B4E" w14:textId="77777777" w:rsidR="00863A4C" w:rsidRDefault="00863A4C" w:rsidP="00863A4C">
      <w:pPr>
        <w:autoSpaceDE w:val="0"/>
        <w:autoSpaceDN w:val="0"/>
        <w:adjustRightInd w:val="0"/>
      </w:pPr>
    </w:p>
    <w:p w14:paraId="1172987A"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Blodgivning vid annan blodcentral</w:t>
      </w:r>
    </w:p>
    <w:p w14:paraId="74502914" w14:textId="77777777" w:rsidR="00863A4C" w:rsidRDefault="00863A4C" w:rsidP="00863A4C">
      <w:pPr>
        <w:pStyle w:val="SoSBrdtextindragfrstaraden"/>
        <w:ind w:firstLine="0"/>
      </w:pPr>
      <w:r>
        <w:t>En blodgivare får temporärt ge blod vid någon annan blodcentral än den ordinarie där han eller hon är registrerad, om blodgivaren samtycker till att personuppgifter om honom eller henne får lämnas ut till den andra blodcentralen (6 kap. 12 § SOSFS 2009:28).</w:t>
      </w:r>
    </w:p>
    <w:p w14:paraId="4244DD46" w14:textId="77777777" w:rsidR="00863A4C" w:rsidRPr="001F5C76" w:rsidRDefault="00863A4C" w:rsidP="00863A4C">
      <w:pPr>
        <w:rPr>
          <w:sz w:val="13"/>
          <w:szCs w:val="13"/>
        </w:rPr>
      </w:pPr>
    </w:p>
    <w:p w14:paraId="66E9ADC1" w14:textId="77777777" w:rsidR="00863A4C" w:rsidRDefault="00863A4C" w:rsidP="00863A4C">
      <w:pPr>
        <w:autoSpaceDE w:val="0"/>
        <w:autoSpaceDN w:val="0"/>
        <w:adjustRightInd w:val="0"/>
        <w:rPr>
          <w:i/>
        </w:rPr>
      </w:pPr>
    </w:p>
    <w:p w14:paraId="2DBBB176" w14:textId="77777777" w:rsidR="00863A4C" w:rsidRPr="00863A4C" w:rsidRDefault="00863A4C" w:rsidP="00863A4C">
      <w:pPr>
        <w:pStyle w:val="Rubrik3"/>
        <w:spacing w:after="240"/>
        <w:rPr>
          <w:rFonts w:asciiTheme="minorHAnsi" w:hAnsiTheme="minorHAnsi"/>
          <w:color w:val="000000" w:themeColor="text1"/>
          <w:sz w:val="28"/>
        </w:rPr>
      </w:pPr>
      <w:r w:rsidRPr="00863A4C">
        <w:rPr>
          <w:rFonts w:asciiTheme="minorHAnsi" w:hAnsiTheme="minorHAnsi"/>
          <w:color w:val="000000" w:themeColor="text1"/>
          <w:sz w:val="28"/>
        </w:rPr>
        <w:t>Lagen om transplantation m.m.</w:t>
      </w:r>
    </w:p>
    <w:p w14:paraId="1493C85F" w14:textId="77777777" w:rsidR="00863A4C" w:rsidRDefault="00863A4C" w:rsidP="00863A4C">
      <w:pPr>
        <w:pStyle w:val="SoSBrdtextindragfrstaraden"/>
        <w:ind w:firstLine="0"/>
      </w:pPr>
      <w:r>
        <w:t>Den verksamhet som omfattas av lagen om blodsäkerhet täcks även av lagen om transplantation m.m. vad avser samtycke till donation (se 1 kap. 1 § SOSFS 2009:28).</w:t>
      </w:r>
      <w:r w:rsidRPr="00231043">
        <w:rPr>
          <w:rStyle w:val="Fotnotsreferens"/>
        </w:rPr>
        <w:footnoteReference w:id="19"/>
      </w:r>
      <w:r>
        <w:t xml:space="preserve"> </w:t>
      </w:r>
    </w:p>
    <w:p w14:paraId="047AA973" w14:textId="77777777" w:rsidR="00863A4C" w:rsidRPr="00BF4F6D" w:rsidRDefault="00863A4C" w:rsidP="00863A4C">
      <w:pPr>
        <w:pStyle w:val="SoSBrdtextindragfrstaraden"/>
        <w:rPr>
          <w:color w:val="auto"/>
        </w:rPr>
      </w:pPr>
      <w:r w:rsidRPr="00231043">
        <w:t>I</w:t>
      </w:r>
      <w:r w:rsidRPr="00865296">
        <w:t xml:space="preserve"> lagen </w:t>
      </w:r>
      <w:r>
        <w:t xml:space="preserve">om transplantation m.m. </w:t>
      </w:r>
      <w:r w:rsidRPr="00865296">
        <w:t>finns olika bestämmelser som rör krav på samtycke och tillstånd till ingrepp för att</w:t>
      </w:r>
      <w:r>
        <w:t xml:space="preserve"> bl.a.</w:t>
      </w:r>
      <w:r w:rsidRPr="00865296">
        <w:t xml:space="preserve"> ta till vara organ eller annat biologisk</w:t>
      </w:r>
      <w:r>
        <w:t>t material</w:t>
      </w:r>
      <w:r w:rsidRPr="00865296">
        <w:t xml:space="preserve"> för transplantation eller annat medicinskt ändamål. </w:t>
      </w:r>
      <w:r>
        <w:t xml:space="preserve">Biologiskt material avsett för transplantation eller annat medicinskt ändamål får tas från en levande människa endast om han eller hon har samtyckt till det (6 §, se även 6 kap. 6 och 11 </w:t>
      </w:r>
      <w:proofErr w:type="gramStart"/>
      <w:r>
        <w:t>§§</w:t>
      </w:r>
      <w:proofErr w:type="gramEnd"/>
      <w:r>
        <w:t xml:space="preserve"> SOSFS 2009:28). Samtycket ska vara skriftligt om det organ eller material som ska tas inte återbildas eller om ingreppet på annat sätt kan medföra beaktansvärd skada eller olägenhet för givaren. </w:t>
      </w:r>
      <w:r w:rsidRPr="00865296">
        <w:t xml:space="preserve">För tappning av blod </w:t>
      </w:r>
      <w:r>
        <w:t>anses det däremot inte befogat med ett krav på skriftligt samtycke från blodgivaren</w:t>
      </w:r>
      <w:r>
        <w:rPr>
          <w:rFonts w:ascii="Roboto" w:hAnsi="Roboto"/>
          <w:color w:val="2F2F2B"/>
        </w:rPr>
        <w:t>.</w:t>
      </w:r>
      <w:r>
        <w:rPr>
          <w:rStyle w:val="Fotnotsreferens"/>
          <w:rFonts w:ascii="Roboto" w:hAnsi="Roboto"/>
          <w:color w:val="2F2F2B"/>
        </w:rPr>
        <w:footnoteReference w:id="20"/>
      </w:r>
    </w:p>
    <w:p w14:paraId="70C35872" w14:textId="77777777" w:rsidR="00863A4C" w:rsidRDefault="00863A4C" w:rsidP="00863A4C"/>
    <w:p w14:paraId="11250C0C" w14:textId="77777777" w:rsidR="00863A4C" w:rsidRPr="004A3DE5" w:rsidRDefault="00863A4C" w:rsidP="00863A4C"/>
    <w:p w14:paraId="554BDAEF" w14:textId="77777777" w:rsidR="00863A4C" w:rsidRPr="00863A4C" w:rsidRDefault="00863A4C" w:rsidP="00863A4C">
      <w:pPr>
        <w:pStyle w:val="Rubrik3"/>
        <w:rPr>
          <w:rFonts w:asciiTheme="minorHAnsi" w:hAnsiTheme="minorHAnsi"/>
          <w:color w:val="000000" w:themeColor="text1"/>
          <w:sz w:val="28"/>
        </w:rPr>
      </w:pPr>
      <w:r w:rsidRPr="00863A4C">
        <w:rPr>
          <w:rFonts w:asciiTheme="minorHAnsi" w:hAnsiTheme="minorHAnsi"/>
          <w:color w:val="000000" w:themeColor="text1"/>
          <w:sz w:val="28"/>
        </w:rPr>
        <w:lastRenderedPageBreak/>
        <w:t xml:space="preserve">EU:s dataskyddsförordning </w:t>
      </w:r>
    </w:p>
    <w:p w14:paraId="5A1AF3F7" w14:textId="77777777" w:rsidR="00863A4C" w:rsidRPr="002D7729" w:rsidRDefault="00863A4C" w:rsidP="00863A4C">
      <w:pPr>
        <w:pStyle w:val="Rubrik4"/>
        <w:spacing w:before="0"/>
      </w:pPr>
    </w:p>
    <w:p w14:paraId="570E2F35" w14:textId="77777777" w:rsidR="00863A4C" w:rsidRDefault="00863A4C" w:rsidP="00863A4C">
      <w:pPr>
        <w:pStyle w:val="SoSBrdtextindragfrstaraden"/>
        <w:ind w:firstLine="0"/>
      </w:pPr>
      <w:r>
        <w:t>EU:s dataskyddsförordning</w:t>
      </w:r>
      <w:r w:rsidRPr="006C3952">
        <w:t xml:space="preserve"> är direkt tillämplig i medlemsländerna och har till syfte att skydda enskildas personliga integritet genom att begränsa hur deras personuppgifter behandlas av medlemsländerna. </w:t>
      </w:r>
      <w:r>
        <w:t xml:space="preserve">Förordningen är tillämplig på personuppgiftsbehandlingar </w:t>
      </w:r>
      <w:r w:rsidRPr="00982039">
        <w:t xml:space="preserve">som helt eller delvis företas på automatisk väg samt på annan behandling än automatisk av personuppgifter som ingår i eller </w:t>
      </w:r>
      <w:r>
        <w:t xml:space="preserve">kommer att ingå i ett register (artikel 2.1). </w:t>
      </w:r>
      <w:r w:rsidRPr="006C3952">
        <w:t xml:space="preserve">Med personuppgifter avses varje upplysning som avser en identifierad eller identifierbar fysisk person (artikel 4). </w:t>
      </w:r>
    </w:p>
    <w:p w14:paraId="5635F458" w14:textId="77777777" w:rsidR="00863A4C" w:rsidRDefault="00863A4C" w:rsidP="00863A4C">
      <w:pPr>
        <w:pStyle w:val="SoSBrdtextindragfrstaraden"/>
      </w:pPr>
      <w:r>
        <w:t>I förordningen finns ett antal grundläggande principer som gäller för all behandling av personuppgifter och som sätter de yttersta ramarna för vad som är en tillåten behandling (se artikel 5). Principerna innebär bl.a. att uppgifterna ska behandlas på ett lagligt, korrekt och öppet sätt i förhållande till den registrerade, att de bara får samlas in för specifika, särskilt angivna och berättigade ändamål, samt att det inte är tillåtet att behandla fler personuppgifter eller att behandla personuppgifter en längre tid än vad som är nödvändigt med hänsyn till ändamålen. Den personuppgiftsansvariga ska även se till att uppgifterna är riktiga och att de skyddas så att inte obehöriga får tillgång till dem och så att de inte förloras eller förstörs.</w:t>
      </w:r>
    </w:p>
    <w:p w14:paraId="6EEBC9FA" w14:textId="77777777" w:rsidR="00863A4C" w:rsidRDefault="00863A4C" w:rsidP="00863A4C">
      <w:pPr>
        <w:pStyle w:val="SoSBrdtextindragfrstaraden"/>
      </w:pPr>
      <w:r>
        <w:t xml:space="preserve">En förutsättning för att personuppgifter ska få behandlas är att det finns en rättslig grund för behandlingen (se artikel 6). Utan rättslig grund är behandlingen av personuppgifter inte laglig. Myndigheter och andra verksamma inom offentlig verksamhet kan främst stödja sig på grunderna rättslig förpliktelse och uppgift av allmänt intresse eller myndighetsutövning, dvs. behandlingen är nödvändig för att fullgöra en rättslig förpliktelse som åvilar den personuppgiftsansvariga (punkt 1 c) eller behandlingen är nödvändig för att utföra en uppgift av allmänt intresse eller som ett led i den personuppgiftsansvarigas myndighetsutövning (punkt 1 e). </w:t>
      </w:r>
      <w:r w:rsidRPr="002F5BA7">
        <w:t>När behandlingen sker med stöd av någon av dessa grunder måste det även finnas ett annat stöd i rättsordningen än det som ges i dataskyddsförordningen, antingen fastställt i enlighet med unionsrätten eller en medlemsstats nationella rätt</w:t>
      </w:r>
      <w:r>
        <w:t xml:space="preserve"> (artikel 6.3). </w:t>
      </w:r>
      <w:r>
        <w:rPr>
          <w:szCs w:val="23"/>
        </w:rPr>
        <w:t>Ett sådant stöd i svensk rätt kan t.ex. finnas i en lag eller en förordning, eller framgå av en myndighets instruktion.</w:t>
      </w:r>
    </w:p>
    <w:p w14:paraId="66B07F3E" w14:textId="77777777" w:rsidR="00863A4C" w:rsidRPr="002F5BA7" w:rsidRDefault="00863A4C" w:rsidP="00863A4C">
      <w:pPr>
        <w:pStyle w:val="SoSBrdtextindragfrstaraden"/>
      </w:pPr>
      <w:r>
        <w:t xml:space="preserve">Det är som huvudregel förbjudet att behandla vissa kategorier av personuppgifter, s.k. känsliga personuppgifter, däribland uppgifter om hälsa (artikel 9.1). Undantag från förbudet finns och gäller t.ex. om behandlingen är nödvändig med hänsyn till ett viktigt allmänt intresse (artikel 9.2 g). Vissa av undantagen förutsätter också viss nationell reglering för att dessa ska bli tillämpliga. </w:t>
      </w:r>
    </w:p>
    <w:p w14:paraId="1C0E5E71" w14:textId="77777777" w:rsidR="00863A4C" w:rsidRDefault="00863A4C" w:rsidP="00863A4C"/>
    <w:p w14:paraId="6E49E49F" w14:textId="77777777" w:rsidR="00863A4C" w:rsidRPr="00F52CDA" w:rsidRDefault="00863A4C" w:rsidP="00863A4C">
      <w:pPr>
        <w:rPr>
          <w:b/>
        </w:rPr>
      </w:pPr>
    </w:p>
    <w:p w14:paraId="23D4A438" w14:textId="77777777" w:rsidR="00863A4C" w:rsidRPr="00F52CDA" w:rsidRDefault="00863A4C" w:rsidP="00863A4C">
      <w:pPr>
        <w:pStyle w:val="SoSRubrik2"/>
      </w:pPr>
      <w:r w:rsidRPr="00F52CDA">
        <w:lastRenderedPageBreak/>
        <w:t>Sekretess och tystnadsplikt</w:t>
      </w:r>
    </w:p>
    <w:p w14:paraId="2FACC6F2"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Offentlig verksamhet</w:t>
      </w:r>
    </w:p>
    <w:p w14:paraId="1258FA26" w14:textId="77777777" w:rsidR="00863A4C" w:rsidRDefault="00863A4C" w:rsidP="00863A4C">
      <w:pPr>
        <w:pStyle w:val="SoSBrdtextindragfrstaraden"/>
        <w:ind w:firstLine="0"/>
      </w:pPr>
      <w:r>
        <w:t>Inom hälso- och sjukvården gäller sekretess för uppgifter om en enskilds hälsotillstånd eller andra personliga förhållanden, om det inte står klart att uppgifterna kan röjas utan att den enskilde eller någon närstående till denna lider men (25 kap. 1 § OSL). Samma sekretess gäller också i annan medicinsk verksamhet som t.ex. rättsmedicinsk och rättspsykiatrisk undersökning, befruktning utanför kroppen och åtgärder mot smittsamma sjukdomar. De exempel som anges i lagtexten är inte uttömmande. Med ”annan medicinsk verksamhet” åsyftas verksamhet som inte primärt har vård- eller behandlingssyfte.</w:t>
      </w:r>
      <w:r>
        <w:rPr>
          <w:rStyle w:val="Fotnotsreferens"/>
        </w:rPr>
        <w:footnoteReference w:id="21"/>
      </w:r>
      <w:r>
        <w:t xml:space="preserve"> För uppgifter i allmänna handlingar gäller sekretessen i högst sjuttio år. </w:t>
      </w:r>
    </w:p>
    <w:p w14:paraId="7A813B2C" w14:textId="77777777" w:rsidR="00863A4C" w:rsidRDefault="00863A4C" w:rsidP="00863A4C">
      <w:pPr>
        <w:pStyle w:val="SoSBrdtextindragfrstaraden"/>
      </w:pPr>
      <w:r>
        <w:t>I förarbetena till lagen om blodsäkerhet görs bedömningen att ovanstående sekretessbestämmelse är tillämplig på sådan verksamhet som bedrivs av blodcentraler i offentlig regi så länge verksamheten avser insamling, kontroll, framställning, förvaring och distribution av blod och blodkomponenter avsedda att användas vid transfusion. Detta eftersom sådan verksamhet</w:t>
      </w:r>
      <w:r>
        <w:rPr>
          <w:i/>
          <w:iCs/>
        </w:rPr>
        <w:t xml:space="preserve"> </w:t>
      </w:r>
      <w:r>
        <w:t>inbegriper åtgärder för att medicinskt förebygga, utreda och behandla sjukdomar och skador, och därför är att betrakta som hälso- och sjukvård i den mening som avses i hälso- och sjukvårdslagen.</w:t>
      </w:r>
      <w:r>
        <w:rPr>
          <w:rStyle w:val="Fotnotsreferens"/>
        </w:rPr>
        <w:footnoteReference w:id="22"/>
      </w:r>
      <w:r>
        <w:t xml:space="preserve"> </w:t>
      </w:r>
    </w:p>
    <w:p w14:paraId="4AC8101A" w14:textId="77777777" w:rsidR="00863A4C" w:rsidRDefault="00863A4C" w:rsidP="00863A4C">
      <w:pPr>
        <w:pStyle w:val="SoSBrdtextindragfrstaraden"/>
      </w:pPr>
      <w:r>
        <w:t xml:space="preserve">Insamling och kontroll av blod och blodkomponenter som är avsedda att användas vid </w:t>
      </w:r>
      <w:r w:rsidRPr="00BC2E3A">
        <w:rPr>
          <w:iCs/>
        </w:rPr>
        <w:t>tillverkning</w:t>
      </w:r>
      <w:r>
        <w:rPr>
          <w:iCs/>
        </w:rPr>
        <w:t xml:space="preserve"> av läkemedel och medicintekniska produkter</w:t>
      </w:r>
      <w:r>
        <w:rPr>
          <w:i/>
          <w:iCs/>
        </w:rPr>
        <w:t xml:space="preserve"> </w:t>
      </w:r>
      <w:r>
        <w:t>är verksamhet som inte primärt har vård- och behandlingssyfte, men utgör dock ett ingrepp som måste ske på ett medicinskt riktigt sätt, och har därför ansetts utgöra sådan ”annan medicinsk verksamhet” som avses i sekretessbestämmelsen.</w:t>
      </w:r>
      <w:r>
        <w:rPr>
          <w:rStyle w:val="Fotnotsreferens"/>
        </w:rPr>
        <w:footnoteReference w:id="23"/>
      </w:r>
      <w:r>
        <w:t xml:space="preserve"> Det innebär att denna typ av verksamhet också omfattas av bestämmelsen så länge den bedrivs i offentlig regi. </w:t>
      </w:r>
    </w:p>
    <w:p w14:paraId="781E9EDE" w14:textId="77777777" w:rsidR="00863A4C" w:rsidRDefault="00863A4C" w:rsidP="00863A4C"/>
    <w:p w14:paraId="49C19A4B"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Privat verksamhet</w:t>
      </w:r>
    </w:p>
    <w:p w14:paraId="2348FB9A" w14:textId="77777777" w:rsidR="00863A4C" w:rsidRDefault="00863A4C" w:rsidP="00863A4C">
      <w:pPr>
        <w:pStyle w:val="SoSBrdtextindragfrstaraden"/>
        <w:ind w:firstLine="0"/>
      </w:pPr>
      <w:r>
        <w:t xml:space="preserve">Inom den enskilda hälso- och sjukvården gäller inte offentlighetsprincipen och alltså inte heller reglerna om sekretess i offentlighets- och sekretesslagen. </w:t>
      </w:r>
      <w:r w:rsidRPr="00DF3599">
        <w:t>För enskilt bedriven blodverksamhet som avser insamling, kontroll,</w:t>
      </w:r>
      <w:r>
        <w:t xml:space="preserve"> </w:t>
      </w:r>
      <w:r w:rsidRPr="00DF3599">
        <w:t>framställning, förvaring och distribution av blod och blodkomponenter</w:t>
      </w:r>
      <w:r>
        <w:t xml:space="preserve"> </w:t>
      </w:r>
      <w:r w:rsidRPr="00DF3599">
        <w:t xml:space="preserve">avsedda att användas vid </w:t>
      </w:r>
      <w:r w:rsidRPr="00EF317E">
        <w:rPr>
          <w:iCs/>
        </w:rPr>
        <w:t>transfusion</w:t>
      </w:r>
      <w:r w:rsidRPr="00EF317E">
        <w:t>,</w:t>
      </w:r>
      <w:r>
        <w:t xml:space="preserve"> finns istället bestämmelser om tystnadsplikt i patientsäkerhetslagen. Av lagen framgår att </w:t>
      </w:r>
      <w:r w:rsidRPr="00DF3599">
        <w:t>den</w:t>
      </w:r>
      <w:r>
        <w:t xml:space="preserve"> </w:t>
      </w:r>
      <w:r w:rsidRPr="00DF3599">
        <w:t>som tillhör eller har tillhört hälso- och sjukvårdspersonalen inom den enskilda</w:t>
      </w:r>
      <w:r>
        <w:t xml:space="preserve"> </w:t>
      </w:r>
      <w:r w:rsidRPr="00DF3599">
        <w:t>hälso- och sjukvården inte obehörigen får röja vad han eller hon i</w:t>
      </w:r>
      <w:r>
        <w:t xml:space="preserve"> </w:t>
      </w:r>
      <w:r w:rsidRPr="00DF3599">
        <w:t>sin verksamhet har fått veta om en enskilds hälsotillstånd eller andra personliga</w:t>
      </w:r>
      <w:r>
        <w:t xml:space="preserve"> förhållanden</w:t>
      </w:r>
      <w:r w:rsidRPr="00701F96">
        <w:t xml:space="preserve"> </w:t>
      </w:r>
      <w:r>
        <w:t xml:space="preserve">(6 kap. 12 § PSL). </w:t>
      </w:r>
      <w:r w:rsidRPr="00DF3599">
        <w:t>Som obehörigt röjande anses inte att någon fullgör</w:t>
      </w:r>
      <w:r>
        <w:t xml:space="preserve"> </w:t>
      </w:r>
      <w:r w:rsidRPr="00DF3599">
        <w:t>sådan uppgiftsskyldighet som</w:t>
      </w:r>
      <w:r>
        <w:t xml:space="preserve"> följer av lag eller förordning. Bestämmelsen är avsedd att ge samma skydd för den enskildas integritet som offentlighets- och sekretesslagen. </w:t>
      </w:r>
    </w:p>
    <w:p w14:paraId="41E8F9F1" w14:textId="77777777" w:rsidR="00863A4C" w:rsidRDefault="00863A4C" w:rsidP="00863A4C">
      <w:pPr>
        <w:pStyle w:val="SoSBrdtextindragfrstaraden"/>
      </w:pPr>
      <w:r w:rsidRPr="002B1427">
        <w:lastRenderedPageBreak/>
        <w:t xml:space="preserve">Motsvarande bestämmelse om tystnadsplikt när det gäller enskilt bedriven verksamhet som avser insamling och kontroll av blod och blodkomponenter avsedda att användas vid </w:t>
      </w:r>
      <w:r w:rsidRPr="002B1427">
        <w:rPr>
          <w:iCs/>
        </w:rPr>
        <w:t xml:space="preserve">tillverkning av läkemedel </w:t>
      </w:r>
      <w:r w:rsidRPr="002B1427">
        <w:t>och medicintekniska produkter återfinns i lagen om blodsäkerhet (se 22 § lagen om blodsäkerhet).</w:t>
      </w:r>
    </w:p>
    <w:p w14:paraId="21C978D4" w14:textId="77777777" w:rsidR="00863A4C" w:rsidRDefault="00863A4C" w:rsidP="00863A4C">
      <w:pPr>
        <w:pStyle w:val="SoSBrdtextindragfrstaraden"/>
        <w:ind w:firstLine="0"/>
      </w:pPr>
    </w:p>
    <w:p w14:paraId="492D3488" w14:textId="77777777" w:rsidR="00863A4C" w:rsidRPr="00F1077C" w:rsidRDefault="00863A4C" w:rsidP="00863A4C">
      <w:pPr>
        <w:autoSpaceDE w:val="0"/>
        <w:autoSpaceDN w:val="0"/>
        <w:adjustRightInd w:val="0"/>
        <w:rPr>
          <w:i/>
        </w:rPr>
      </w:pPr>
    </w:p>
    <w:p w14:paraId="6645253D" w14:textId="77777777" w:rsidR="00863A4C" w:rsidRDefault="00863A4C" w:rsidP="00863A4C">
      <w:pPr>
        <w:pStyle w:val="SoSRubrik1"/>
      </w:pPr>
      <w:r>
        <w:lastRenderedPageBreak/>
        <w:t>Överväganden och förslag</w:t>
      </w:r>
    </w:p>
    <w:p w14:paraId="05B27B37" w14:textId="77777777" w:rsidR="00863A4C" w:rsidRDefault="00863A4C" w:rsidP="00863A4C"/>
    <w:p w14:paraId="2B2DAF98" w14:textId="77777777" w:rsidR="00863A4C" w:rsidRPr="00F52CDA" w:rsidRDefault="00863A4C" w:rsidP="00863A4C">
      <w:pPr>
        <w:pStyle w:val="SoSRubrik2"/>
      </w:pPr>
      <w:r w:rsidRPr="00F52CDA">
        <w:t>Förutsättningar för ett nytt nationellt register över godkända blodgivare</w:t>
      </w:r>
    </w:p>
    <w:p w14:paraId="12B6200E" w14:textId="77777777" w:rsidR="00863A4C" w:rsidRDefault="00863A4C" w:rsidP="00863A4C">
      <w:pPr>
        <w:pStyle w:val="SoSBrdtextindragfrstaraden"/>
        <w:rPr>
          <w:b/>
        </w:rPr>
      </w:pPr>
    </w:p>
    <w:p w14:paraId="6FF877A6"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Behov av ett nationellt register</w:t>
      </w:r>
    </w:p>
    <w:p w14:paraId="2A130ED9" w14:textId="77777777" w:rsidR="00863A4C" w:rsidRDefault="00863A4C" w:rsidP="00863A4C">
      <w:pPr>
        <w:pStyle w:val="SoSBrdtextindragfrstaraden"/>
        <w:ind w:firstLine="0"/>
      </w:pPr>
      <w:r>
        <w:t xml:space="preserve">I dagsläget finns det lokala register hos varje blodverksamhet som innehåller uppgifter om bl.a. blodgivare, blodmottagare och gjorda kontroller av blod och blodkomponenter. Dessa register regleras av lagen om blodsäkerhet med tillhörande förordning samt Socialstyrelsens föreskrifter om blodverksamhet och transfusion av blodkomponenter (se 16 § lagen om blodsäkerhet). Det finns därmed inget centralt register med uppgifter som blodcentralerna kan ta del av för att det ska vara möjligt att kunna lämna blod var som helst i Sverige utan att behöva bli godkänd som blodgivare på nytt. </w:t>
      </w:r>
    </w:p>
    <w:p w14:paraId="382D51E8" w14:textId="77777777" w:rsidR="00863A4C" w:rsidRDefault="00863A4C" w:rsidP="00863A4C">
      <w:pPr>
        <w:pStyle w:val="SoSBrdtextindragfrstaraden"/>
      </w:pPr>
      <w:r>
        <w:t xml:space="preserve">Som tidigare framgått förvaltar </w:t>
      </w:r>
      <w:proofErr w:type="spellStart"/>
      <w:r>
        <w:t>SweBA</w:t>
      </w:r>
      <w:proofErr w:type="spellEnd"/>
      <w:r>
        <w:t xml:space="preserve"> ett system för gästblodgivning där drygt hälften av landets regioner ingår. Gästblodgivningen möjliggör att blodgivare kan lämna blod i andra regioner utan att behöva bli godkända som blodgivare på nytt. Systemet med gästblodgivning fungerar bra i grunden men har brister framförallt ur ett beredskapsperspektiv då alla regioner inte är anslutna till funktionen. Det finns således ett behov av en bättre täckningsgrad och ett system för registrering av godkända blodgivare som är lättillgängligt för alla blodverksamheter i landet. </w:t>
      </w:r>
    </w:p>
    <w:p w14:paraId="3DABF82A" w14:textId="77777777" w:rsidR="00863A4C" w:rsidRDefault="00863A4C" w:rsidP="00863A4C">
      <w:pPr>
        <w:pStyle w:val="SoSBrdtextindragfrstaraden"/>
      </w:pPr>
      <w:r>
        <w:t xml:space="preserve">Enligt regeringsuppdraget ska Socialstyrelsen utreda förutsättningarna för att skapa ett nationellt register över godkända blodgivare. </w:t>
      </w:r>
      <w:r w:rsidRPr="00FF2DBE">
        <w:t>För att ett sådant register ska kunna fylla syftet att det ska bli möjligt att lämna blod var som helst i landet vid en kris eller vid krig, räcker det inte med att registret endast innehåller uppgifter om huruvida en blodgivare är godkänd eller inte, dvs. ett slags passivt register. Registret måste istället innehålla tillräckligt med uppgifter om blodgivarna för att säkerställa att den blodcentral som är gästblodcentral ska kunna göra en blodtappning för att använda blodet direkt utan ytterligare testning än vad som normalt krävs vid en tappning hos hemmablodcentralen.</w:t>
      </w:r>
      <w:r>
        <w:t xml:space="preserve"> </w:t>
      </w:r>
    </w:p>
    <w:p w14:paraId="095C36A8"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En särskild reglering</w:t>
      </w:r>
    </w:p>
    <w:p w14:paraId="31A984E1" w14:textId="77777777" w:rsidR="00863A4C" w:rsidRDefault="00863A4C" w:rsidP="00863A4C">
      <w:pPr>
        <w:pStyle w:val="SoSBrdtextindragfrstaraden"/>
        <w:ind w:firstLine="0"/>
      </w:pPr>
      <w:r>
        <w:t xml:space="preserve">Socialstyrelsen konstaterar att det saknas förutsättningar för att inrätta ett nationellt blodgivarregister utifrån nuvarande reglering i lagen om blodsäkerhet eftersom lagen endast reglerar blodverksamheternas nuvarande lokala register (se 16 § lagen om blodsäkerhet). Om det ska inrättas ett särskilt nationellt register över godkända blodgivare är Socialstyrelsens bedömning att det behövs en särskild författningsreglering för ett sådant register. </w:t>
      </w:r>
    </w:p>
    <w:p w14:paraId="4F5B67E8" w14:textId="77777777" w:rsidR="00863A4C" w:rsidRDefault="00863A4C" w:rsidP="00863A4C">
      <w:pPr>
        <w:pStyle w:val="SoSBrdtextindragfrstaraden"/>
      </w:pPr>
      <w:r>
        <w:lastRenderedPageBreak/>
        <w:t xml:space="preserve">Grundläggande bestämmelser om skydd för den personliga integriteten finns i regeringsformen, RF (se 2 kap. 6 och 20-21 </w:t>
      </w:r>
      <w:proofErr w:type="gramStart"/>
      <w:r>
        <w:t>§§</w:t>
      </w:r>
      <w:proofErr w:type="gramEnd"/>
      <w:r>
        <w:t xml:space="preserve"> RF). När det gäller skyddet av den personliga integriteten i förhållande till dataskydd, finns bestämmelser i EU:s dataskyddsförordning och dataskyddslagen. Det finns vidare ett stort antal registerförfattningar inom den offentliga sektorn som reglerar hur en ansvarig registerhållare får och/eller ska handskas med sin information. En registerförfattning innehåller bl.a. bestämmelser om vilka uppgifter registerhållaren får samla in och behandla i sina register, samt för vilka ändamål detta får ske. Det huvudsakliga syftet med en sådan reglering är att skydda enskildas personliga integritet. </w:t>
      </w:r>
    </w:p>
    <w:p w14:paraId="00AE03A8" w14:textId="77777777" w:rsidR="00863A4C" w:rsidRDefault="00863A4C" w:rsidP="00863A4C">
      <w:pPr>
        <w:pStyle w:val="SoSBrdtextindragfrstaraden"/>
      </w:pPr>
      <w:r>
        <w:t>Ett nationellt register över godkända blodgivare kommer att innehålla en stor mängd uppgifter om ett stort antal personer. En viktig fråga i sammanhanget är därför vilka konsekvenser registret kan medföra utifrån integritetssynpunkt. Det kan konstateras att den utökade behandlingen av personuppgifter som ett samlat nationellt register medför innebär ett intrång i de enskilda registrerades personliga integritet. Om utgångspunkten är att registret ska möjliggöra blodgivning var som helst i Sverige och därmed innehålla de uppgifter som i dagsläget delas mellan blodcentralerna vid gästblodgivning, så som tappningshistorik, Hb-resultat, blodgruppering och undersökningsresultat, kan det även komma att innehålla känsliga personuppgifter enligt dataskyddsregleringen (se artikel 9 EU:s dataskyddsförordning). Ur integritetssynpunkt skiljer sig en sådan nationell sammanställning av uppgifter åt från sammanställningen av uppgifter som finns i nuvarande lokala register eftersom uppgifterna i det nationella registret kommer att vara tillgängliga på ett mer omedelbart sätt än vad som är fallet med uppgifterna i de lokala registren. Ett nationellt register framstår därför som särskilt känsligt utifrån integritetssynpunkt eftersom personuppgifter kan sökas och sammanställas på ett enklare sätt, vilket ökar risken för kontroll över och kartläggning av enskilda individer. För varje användare som har tillgång till uppgifter om en viss person, ökar allmänt sett risken för integritetsintrång, obehörigt röjande och andra former av missbruk av personuppgifterna.</w:t>
      </w:r>
    </w:p>
    <w:p w14:paraId="2ECEE560" w14:textId="77777777" w:rsidR="00863A4C" w:rsidRDefault="00863A4C" w:rsidP="00863A4C">
      <w:pPr>
        <w:pStyle w:val="SoSBrdtextindragfrstaraden"/>
      </w:pPr>
      <w:r>
        <w:t>Behandlingen av uppgifterna i det nationella registret bör därför regleras på lämpligt sätt</w:t>
      </w:r>
      <w:r w:rsidRPr="000B2397">
        <w:t xml:space="preserve"> </w:t>
      </w:r>
      <w:r>
        <w:t xml:space="preserve">för att förhindra att upplysningar om enskilda personer samlas, sammanställs och framställs på ett sådant sätt att det uppstår risk för missbruk och otillbörligt intrång i den personliga integriteten. En sådan reglering bör exempelvis innehålla bestämmelser om begränsningar av vilka personuppgifter som får behandlas i registret och för vilka ändamål, samt bestämmelser om olika skyddsåtgärder så som sekretess för uppgifterna hos registerhållaren och andra integritetshöjande åtgärder. </w:t>
      </w:r>
    </w:p>
    <w:p w14:paraId="52426732" w14:textId="77777777" w:rsidR="00863A4C" w:rsidRDefault="00863A4C" w:rsidP="00863A4C">
      <w:pPr>
        <w:pStyle w:val="SoSBrdtextindragfrstaraden"/>
      </w:pPr>
      <w:r>
        <w:t xml:space="preserve">Avgörande för vilken form </w:t>
      </w:r>
      <w:r w:rsidRPr="00A826C0">
        <w:t xml:space="preserve">av författningsstöd som kommer att krävas </w:t>
      </w:r>
      <w:r>
        <w:t>är bl.a. huruvida registret kommer föras med samtycke från de registrerade och om intrånget i den personliga integriteten är så pass betydande att grundlagsskyddet i 2 kap. 6 § RF blir tillämpligt.</w:t>
      </w:r>
      <w:r w:rsidRPr="00E92081">
        <w:rPr>
          <w:rStyle w:val="Fotnotsreferens"/>
        </w:rPr>
        <w:t xml:space="preserve"> </w:t>
      </w:r>
    </w:p>
    <w:p w14:paraId="587DCDE7" w14:textId="77777777" w:rsidR="00863A4C" w:rsidRDefault="00863A4C" w:rsidP="00863A4C">
      <w:pPr>
        <w:pStyle w:val="SoSBrdtextindragfrstaraden"/>
      </w:pPr>
      <w:r>
        <w:t xml:space="preserve"> </w:t>
      </w:r>
      <w:r w:rsidRPr="00980368">
        <w:t xml:space="preserve"> </w:t>
      </w:r>
      <w:r>
        <w:t xml:space="preserve">I sammanhanget är också frågan om förhållandet mellan de befintliga lokala registren och det nationella registret relevant. De lokala registren har till ändamål att endast säkerställa spårbarheten av blod och blodkomponenter, och att förhindra att smitta överförs till människor (se 16 § lagen om blodsäkerhet). Vid en framtida författningsreglering behöver det därför tas hänsyn </w:t>
      </w:r>
      <w:r>
        <w:lastRenderedPageBreak/>
        <w:t>till om det nationella registret ska ersätta befintliga register fullt ut eller till viss del, eller om dessa register ska föras parallellt fast med olika ändamål.</w:t>
      </w:r>
    </w:p>
    <w:p w14:paraId="6D510C41" w14:textId="77777777" w:rsidR="00863A4C" w:rsidRDefault="00863A4C" w:rsidP="00863A4C">
      <w:pPr>
        <w:pStyle w:val="SoSBrdtextindragfrstaraden"/>
      </w:pPr>
    </w:p>
    <w:p w14:paraId="595004AF" w14:textId="77777777" w:rsidR="00863A4C" w:rsidRPr="00F52CDA" w:rsidRDefault="00863A4C" w:rsidP="00863A4C">
      <w:pPr>
        <w:pStyle w:val="Rubrik4"/>
        <w:rPr>
          <w:b w:val="0"/>
          <w:sz w:val="25"/>
          <w:szCs w:val="25"/>
        </w:rPr>
      </w:pPr>
      <w:r w:rsidRPr="00863A4C">
        <w:rPr>
          <w:rFonts w:asciiTheme="minorHAnsi" w:hAnsiTheme="minorHAnsi"/>
          <w:b w:val="0"/>
          <w:color w:val="000000" w:themeColor="text1"/>
          <w:sz w:val="28"/>
        </w:rPr>
        <w:t>Förvaltning och personuppgiftsansvar för registret</w:t>
      </w:r>
    </w:p>
    <w:p w14:paraId="6DD09D24" w14:textId="77777777" w:rsidR="00863A4C" w:rsidRDefault="00863A4C" w:rsidP="00863A4C">
      <w:pPr>
        <w:pStyle w:val="SoSBrdtextindragfrstaraden"/>
        <w:ind w:firstLine="0"/>
      </w:pPr>
      <w:r>
        <w:t>Vilken aktör som är mest lämplig att förvalta registret och därmed vara personuppgiftsansvarig för behandlingen av personuppgifterna i registret behöver utredas närmare. Registerhållaren skulle kunna vara t.ex. en statlig myndighet eller en region som i dagsläget redan har ansvar för krisberedskap inom sitt verksamhetsområde.</w:t>
      </w:r>
    </w:p>
    <w:p w14:paraId="772959AC" w14:textId="77777777" w:rsidR="00863A4C" w:rsidRDefault="00863A4C" w:rsidP="00863A4C">
      <w:pPr>
        <w:pStyle w:val="SoSBrdtextindragfrstaraden"/>
        <w:ind w:firstLine="0"/>
      </w:pPr>
    </w:p>
    <w:p w14:paraId="08621565"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Ändamål och innehåll i registret</w:t>
      </w:r>
    </w:p>
    <w:p w14:paraId="35DB8B8C" w14:textId="77777777" w:rsidR="00863A4C" w:rsidRDefault="00863A4C" w:rsidP="00863A4C">
      <w:pPr>
        <w:pStyle w:val="SoSBrdtextindragfrstaraden"/>
        <w:ind w:firstLine="0"/>
      </w:pPr>
      <w:r>
        <w:t>Ett ändamål för det nationella registret skulle möjligtvis kunna vara att förse de verksamheter som omfattas av lagen om blodsäkerhet med information om godkända blodgivare.</w:t>
      </w:r>
      <w:r>
        <w:rPr>
          <w:rStyle w:val="Fotnotsreferens"/>
        </w:rPr>
        <w:footnoteReference w:id="24"/>
      </w:r>
      <w:r>
        <w:t xml:space="preserve"> Detta för att säkerställa att blodgivning kan ske på ett säkert sätt överallt i landet och att uppgifterna som blodcentralerna behöver kan tillgängliggöras på ett enkelt och effektivt sätt. Ändamålsbeskrivningen kommer även att utgöra en yttre gräns för vilka uppgifter som kommer att få behandlas i registret.</w:t>
      </w:r>
    </w:p>
    <w:p w14:paraId="42855B1E" w14:textId="77777777" w:rsidR="00863A4C" w:rsidRDefault="00863A4C" w:rsidP="00863A4C">
      <w:pPr>
        <w:pStyle w:val="SoSBrdtextindragfrstaraden"/>
      </w:pPr>
      <w:r>
        <w:t xml:space="preserve">Registret kommer troligtvis behöva innehålla de uppgifter som i dagsläget delas mellan blodcentralerna vid gästblodgivning, dvs. uppgifter som behövs för att en gästblodcentral ska kunna bedöma huruvida blodgivaren är godkänd blodgivare och om denne kan tappas på blod vid det aktuella tillfället. Dessa uppgifter skulle möjligtvis kunna utgöra indirekta uppgifter om hälsa i den utsträckning de avslöjar exempelvis en blodgivares hälsostatus. </w:t>
      </w:r>
      <w:r>
        <w:rPr>
          <w:rFonts w:ascii="OriginalGaramondBT-Roman" w:hAnsi="OriginalGaramondBT-Roman" w:cs="OriginalGaramondBT-Roman"/>
        </w:rPr>
        <w:t xml:space="preserve">Behandling av sådana uppgifter är som huvudregel förbjuden och endast möjlig för det fall något av undantagen i EU:s dataskyddsförordning är tillämpligt (se artikel 9, jfr även 3 kap. 3 och 5 </w:t>
      </w:r>
      <w:proofErr w:type="gramStart"/>
      <w:r>
        <w:rPr>
          <w:rFonts w:ascii="OriginalGaramondBT-Roman" w:hAnsi="OriginalGaramondBT-Roman" w:cs="OriginalGaramondBT-Roman"/>
        </w:rPr>
        <w:t>§§</w:t>
      </w:r>
      <w:proofErr w:type="gramEnd"/>
      <w:r>
        <w:rPr>
          <w:rFonts w:ascii="OriginalGaramondBT-Roman" w:hAnsi="OriginalGaramondBT-Roman" w:cs="OriginalGaramondBT-Roman"/>
        </w:rPr>
        <w:t xml:space="preserve"> dataskyddslagen). Regleringen bör därför lämpligen innehålla ett stöd för behandling av känsliga personuppgifter.</w:t>
      </w:r>
    </w:p>
    <w:p w14:paraId="11055EE6" w14:textId="77777777" w:rsidR="00863A4C" w:rsidRDefault="00863A4C" w:rsidP="00863A4C">
      <w:pPr>
        <w:pStyle w:val="SoSBrdtextindragfrstaraden"/>
      </w:pPr>
      <w:r>
        <w:t xml:space="preserve">Vid omvärldsanalysen har det framförts som önskvärt att registret också visar uppgifter om hur mycket blod av olika blodgrupper som finns att tillgå i de olika regionerna då det skulle underlätta för hälso- och sjukvården både i den dagliga verksamheten och vid kris eller krig, eftersom blodverksamheterna i nuläget måste ringa till varandra med förfrågningar om de själva skulle få brist i sina blodlager. </w:t>
      </w:r>
    </w:p>
    <w:p w14:paraId="16165E98" w14:textId="77777777" w:rsidR="00863A4C" w:rsidRDefault="00863A4C" w:rsidP="00863A4C">
      <w:pPr>
        <w:pStyle w:val="SoSBrdtextindragfrstaraden"/>
      </w:pPr>
      <w:r>
        <w:t xml:space="preserve">Exakt vad som är lämpligt som ändamål och hur detaljerad ändamålsbeskrivning det nationella registret ska ha, samt vilka exakta uppgifter det ska innehålla behöver utredas närmare.  </w:t>
      </w:r>
    </w:p>
    <w:p w14:paraId="7337BA2B" w14:textId="77777777" w:rsidR="00863A4C" w:rsidRDefault="00863A4C" w:rsidP="00863A4C">
      <w:pPr>
        <w:rPr>
          <w:rFonts w:ascii="OriginalGaramondBT-Roman" w:hAnsi="OriginalGaramondBT-Roman" w:cs="OriginalGaramondBT-Roman"/>
        </w:rPr>
      </w:pPr>
    </w:p>
    <w:p w14:paraId="3BEDF25E"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 xml:space="preserve">Blodgivarens inställning till personuppgiftsbehandlingen och uppgiftsskyldighet för blodverksamheter </w:t>
      </w:r>
    </w:p>
    <w:p w14:paraId="3277C59C" w14:textId="77777777" w:rsidR="00863A4C" w:rsidRDefault="00863A4C" w:rsidP="00863A4C">
      <w:pPr>
        <w:pStyle w:val="SoSBrdtextindragfrstaraden"/>
        <w:ind w:firstLine="0"/>
      </w:pPr>
      <w:r>
        <w:t xml:space="preserve">I de lokala register som förs enligt lagen om blodsäkerhet är registreringen ett obligatoriskt moment vid godkännandet av blodgivaren och vid varje </w:t>
      </w:r>
      <w:r>
        <w:lastRenderedPageBreak/>
        <w:t xml:space="preserve">tappningstillfälle därefter (se 16 § lagen om blodsäkerhet och 6 kap. 1 och 22 </w:t>
      </w:r>
      <w:proofErr w:type="gramStart"/>
      <w:r>
        <w:t>§§</w:t>
      </w:r>
      <w:proofErr w:type="gramEnd"/>
      <w:r>
        <w:t xml:space="preserve"> SOSFS 2009:28). Ur ett integritetsperspektiv är det viktigt att blodgivaren har rätt att själv bestämma hur hans eller hennes personuppgifter ska användas, samtidigt som syftet med registret skulle kunna undermineras om det vid en krissituation eller krig visar sig att många blodgivare inte finns registrerade i registret. Vid en framtida reglering kommer därför frågan om huruvida registret ska föras med möjlighet för den enskilde att själv bestämma om registrering i det nationella registret behöva tas om hand.</w:t>
      </w:r>
    </w:p>
    <w:p w14:paraId="37E4B3C2" w14:textId="77777777" w:rsidR="00863A4C" w:rsidRDefault="00863A4C" w:rsidP="00863A4C">
      <w:pPr>
        <w:pStyle w:val="SoSBrdtextindragfrstaraden"/>
      </w:pPr>
      <w:r>
        <w:t xml:space="preserve">Utifrån ett krisberedskapsperspektiv borde en så hög täckningsgrad för uppgifterna i registret som möjligt eftersträvas. För att blodverksamheterna ska kunna lämna in de uppgifter till registret som behövs, bör det även övervägas om en uppgiftsskyldighet för blodverksamheterna ska regleras.  </w:t>
      </w:r>
    </w:p>
    <w:p w14:paraId="5BD0FB42" w14:textId="77777777" w:rsidR="00863A4C" w:rsidRDefault="00863A4C" w:rsidP="00863A4C"/>
    <w:p w14:paraId="7B43EE63"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t xml:space="preserve">Sekretess och åtkomst för uppgifterna i registret </w:t>
      </w:r>
    </w:p>
    <w:p w14:paraId="781D3CE1" w14:textId="77777777" w:rsidR="00863A4C" w:rsidRDefault="00863A4C" w:rsidP="00863A4C">
      <w:pPr>
        <w:pStyle w:val="SoSBrdtextindragfrstaraden"/>
        <w:ind w:firstLine="0"/>
      </w:pPr>
      <w:r>
        <w:t xml:space="preserve">Uppgifter om blodgivaren hos blodverksamheterna i offentlig regi omfattas av den starka hälso- och sjukvårdssekretessen enligt vilken presumtion för sekretess råder (se 25 kap. 1 § OSL). Hos en blodverksamhet i privat regi omfattas samma uppgifter av bestämmelser om tystnadsplikt, dels enligt patientsäkerhetslagen för </w:t>
      </w:r>
      <w:r w:rsidRPr="00DF3599">
        <w:t>insamling, kontroll,</w:t>
      </w:r>
      <w:r>
        <w:t xml:space="preserve"> </w:t>
      </w:r>
      <w:r w:rsidRPr="00DF3599">
        <w:t xml:space="preserve">framställning, förvaring och distribution </w:t>
      </w:r>
      <w:r>
        <w:t xml:space="preserve">av blod och blodkomponenter avsedda att användas vid transfusion (6 kap. 12 § PSL), dels av lagen om blodsäkerhet för </w:t>
      </w:r>
      <w:r w:rsidRPr="002B1427">
        <w:t xml:space="preserve">insamling och kontroll av blod och blodkomponenter avsedda att användas vid </w:t>
      </w:r>
      <w:r w:rsidRPr="002B1427">
        <w:rPr>
          <w:iCs/>
        </w:rPr>
        <w:t xml:space="preserve">tillverkning av läkemedel </w:t>
      </w:r>
      <w:r w:rsidRPr="002B1427">
        <w:t xml:space="preserve">och medicintekniska produkter </w:t>
      </w:r>
      <w:r>
        <w:t>(</w:t>
      </w:r>
      <w:r w:rsidRPr="002B1427">
        <w:t>22 § lagen om blodsäkerhet).</w:t>
      </w:r>
      <w:r>
        <w:t xml:space="preserve"> </w:t>
      </w:r>
    </w:p>
    <w:p w14:paraId="14B579C1" w14:textId="77777777" w:rsidR="00863A4C" w:rsidRDefault="00863A4C" w:rsidP="00863A4C">
      <w:pPr>
        <w:pStyle w:val="SoSBrdtextindragfrstaraden"/>
      </w:pPr>
      <w:r>
        <w:t xml:space="preserve">Vid ett utlämnande av uppgifter till det nationella registret kommer blodverksamheterna att </w:t>
      </w:r>
      <w:proofErr w:type="gramStart"/>
      <w:r>
        <w:t>behöva  göra</w:t>
      </w:r>
      <w:proofErr w:type="gramEnd"/>
      <w:r>
        <w:t xml:space="preserve"> en sekretessprövning vid varje enskilt utlämnande gentemot registerhållaren. För att säkerställa kontinuerligt flöde av uppgifter kan det därför vara lämpligt att antingen införa en uppgiftsskyldighet för blodverksamheterna eller att blodgivarna samtycker till att överföringen sker (se 10 kap. 1 § och 12 kap. 1 § OSL).</w:t>
      </w:r>
      <w:r>
        <w:rPr>
          <w:rStyle w:val="Fotnotsreferens"/>
        </w:rPr>
        <w:footnoteReference w:id="25"/>
      </w:r>
    </w:p>
    <w:p w14:paraId="110C97E4" w14:textId="77777777" w:rsidR="00863A4C" w:rsidRDefault="00863A4C" w:rsidP="00863A4C">
      <w:pPr>
        <w:pStyle w:val="SoSBrdtextindragfrstaraden"/>
      </w:pPr>
      <w:r>
        <w:t>Det behöver även utredas vilket sekretesskydd uppgifterna får hos registerhållaren, och om det eventuellt behöver införas en ny sekretessbestämmelse till skydd för uppgifterna.</w:t>
      </w:r>
      <w:r>
        <w:rPr>
          <w:rStyle w:val="Fotnotsreferens"/>
        </w:rPr>
        <w:footnoteReference w:id="26"/>
      </w:r>
    </w:p>
    <w:p w14:paraId="2B2BB0D7" w14:textId="77777777" w:rsidR="00863A4C" w:rsidRDefault="00863A4C" w:rsidP="00863A4C">
      <w:pPr>
        <w:pStyle w:val="SoSBrdtextindragfrstaraden"/>
      </w:pPr>
      <w:r>
        <w:t>För att gästblodcentralerna i sin tur ska kunna avgöra om en blodgivare kan tappas på blod behöver de komma åt uppgifterna i det nationella registret. Om detta ska regleras genom att blodverksamheterna medges direktåtkomst till det nationella registret eller om det skulle räcka med annat elektroniskt utlämnande (t.ex. en fråga/svar-tjänst) måste övervägas utifrån dels vad som är mest lämpligt och kostnadseffektivt, dels vad som är bäst utifrån integritetssynpunkt. Olika frågor gör sig därvid gällande beroende på vilket alternativ som förespråkas, t.ex. behovet av en sekretessbrytande bestämmelse eller inte.</w:t>
      </w:r>
    </w:p>
    <w:p w14:paraId="462BE59F" w14:textId="77777777" w:rsidR="00863A4C" w:rsidRPr="007D051D" w:rsidRDefault="00863A4C" w:rsidP="00863A4C"/>
    <w:p w14:paraId="1D14E379" w14:textId="77777777" w:rsidR="00863A4C" w:rsidRPr="00863A4C" w:rsidRDefault="00863A4C" w:rsidP="00863A4C">
      <w:pPr>
        <w:pStyle w:val="Rubrik4"/>
        <w:rPr>
          <w:rFonts w:asciiTheme="minorHAnsi" w:hAnsiTheme="minorHAnsi"/>
          <w:b w:val="0"/>
          <w:color w:val="000000" w:themeColor="text1"/>
          <w:sz w:val="28"/>
        </w:rPr>
      </w:pPr>
      <w:r w:rsidRPr="00863A4C">
        <w:rPr>
          <w:rFonts w:asciiTheme="minorHAnsi" w:hAnsiTheme="minorHAnsi"/>
          <w:b w:val="0"/>
          <w:color w:val="000000" w:themeColor="text1"/>
          <w:sz w:val="28"/>
        </w:rPr>
        <w:lastRenderedPageBreak/>
        <w:t>Övriga frågor</w:t>
      </w:r>
    </w:p>
    <w:p w14:paraId="45676336" w14:textId="77777777" w:rsidR="00863A4C" w:rsidRDefault="00863A4C" w:rsidP="00863A4C">
      <w:r>
        <w:t xml:space="preserve">Det finns även andra frågor som kommer vara aktuella att ta ställning till för det fall det ska införas en särskild reglering för registret. Det gäller bl.a. frågor om personuppgiftsansvar, gallring av uppgifter, sökbegrepp och information till den registrerade. </w:t>
      </w:r>
    </w:p>
    <w:p w14:paraId="2A55E8AF" w14:textId="77777777" w:rsidR="00863A4C" w:rsidRPr="00C00E7E" w:rsidRDefault="00863A4C" w:rsidP="00863A4C"/>
    <w:p w14:paraId="3CCC41CA" w14:textId="77777777" w:rsidR="00863A4C" w:rsidRPr="00F52CDA" w:rsidRDefault="00863A4C" w:rsidP="00863A4C">
      <w:pPr>
        <w:rPr>
          <w:b/>
        </w:rPr>
      </w:pPr>
    </w:p>
    <w:p w14:paraId="0304AF6A" w14:textId="77777777" w:rsidR="00863A4C" w:rsidRPr="00F52CDA" w:rsidRDefault="00863A4C" w:rsidP="00863A4C">
      <w:pPr>
        <w:pStyle w:val="SoSRubrik2"/>
      </w:pPr>
      <w:r w:rsidRPr="00F52CDA">
        <w:t>Alternativ lösning utifrån befintliga register över godkända blodgivare</w:t>
      </w:r>
    </w:p>
    <w:p w14:paraId="65CA1E7E" w14:textId="77777777" w:rsidR="00863A4C" w:rsidRDefault="00863A4C" w:rsidP="00863A4C">
      <w:pPr>
        <w:pStyle w:val="SoSBrdtextindragfrstaraden"/>
        <w:ind w:firstLine="0"/>
        <w:rPr>
          <w:rFonts w:eastAsiaTheme="minorHAnsi" w:cstheme="minorBidi"/>
          <w:color w:val="auto"/>
          <w:szCs w:val="22"/>
          <w:lang w:eastAsia="en-US"/>
        </w:rPr>
      </w:pPr>
    </w:p>
    <w:p w14:paraId="1600AF54" w14:textId="77777777" w:rsidR="00863A4C" w:rsidRDefault="00863A4C" w:rsidP="00863A4C">
      <w:pPr>
        <w:pStyle w:val="SoSBrdtextindragfrstaraden"/>
        <w:ind w:firstLine="0"/>
      </w:pPr>
      <w:r>
        <w:t xml:space="preserve">Ett alternativ till ett nytt nationellt register över godkända blodgivare med en särskild reglering, är att istället utgå ifrån de redan reglerade lokala registren och utveckla det befintliga systemet med gästblodgivning. Fördelarna med denna lösning är att det bygger på ett system som beskrivs som välfungerande mellan de blodcentraler som är anslutna till </w:t>
      </w:r>
      <w:proofErr w:type="spellStart"/>
      <w:r>
        <w:t>SweBA:s</w:t>
      </w:r>
      <w:proofErr w:type="spellEnd"/>
      <w:r>
        <w:t xml:space="preserve"> tjänst SBS. Det kan också förmodas vara en mer kostnadseffektiv och mindre resurskrävande lösning än att upprätta ett helt nytt register. Det finns även fördelar ur integritetssynpunkt eftersom ett samlat nationellt register medför en utökad personuppgiftsbehandling och risken för integritetsintrång, obehörigt röjande och andra former av missbruk av personuppgifterna ökar allmänt sett för varje användare som har tillgång till dem. Fördelen med denna alternativa lösning är också att det blir tydligare vem som är informationsägare.</w:t>
      </w:r>
    </w:p>
    <w:p w14:paraId="3352F50B" w14:textId="77777777" w:rsidR="00863A4C" w:rsidRDefault="00863A4C" w:rsidP="00863A4C">
      <w:pPr>
        <w:pStyle w:val="SoSBrdtextindragfrstaraden"/>
      </w:pPr>
      <w:r>
        <w:t xml:space="preserve">Som tidigare nämnt har dock det nuvarande systemet med gästblodgivning brister eftersom alla regioner dels inte har samma version av dokumentationssystemet </w:t>
      </w:r>
      <w:proofErr w:type="spellStart"/>
      <w:r>
        <w:t>ProSang</w:t>
      </w:r>
      <w:proofErr w:type="spellEnd"/>
      <w:r>
        <w:t xml:space="preserve">, dels inte är anslutna till tjänsten SBS som gör det möjligt med utbyte av blodgivaruppgifter mellan blodcentralerna. För att möjliggöra blodgivning överallt i Sverige skulle det därför krävas någon form av obligatorium för alla regioner att implementera ett visst dokumentationssystem, förslagsvis samma version av </w:t>
      </w:r>
      <w:proofErr w:type="spellStart"/>
      <w:r>
        <w:t>ProSang</w:t>
      </w:r>
      <w:proofErr w:type="spellEnd"/>
      <w:r>
        <w:t xml:space="preserve"> eller ett annat kompatibelt system, för att den information om blodgivaren som krävs vid en blodtappning ska vara lättillgänglig för alla blodcentraler i landet. Huruvida ett sådant utbyte av uppgifter mellan blodcentralerna ska ske genom en fråga/svar-tjänst likt den som SBS är idag, eller om blodcentralerna skulle medges direktåtkomst till varandras lokala register, är något som måste analyseras vidare utifrån de tekniska möjligheterna och vad som är bäst utifrån integritetshänseende.</w:t>
      </w:r>
      <w:r>
        <w:rPr>
          <w:rStyle w:val="Fotnotsreferens"/>
        </w:rPr>
        <w:footnoteReference w:id="27"/>
      </w:r>
      <w:r>
        <w:t xml:space="preserve"> För det fall direktåtkomst blir aktuellt, bör detta lämpligen regleras genom en justering i lagen om blodsäkerhet och tillhörande förordning.</w:t>
      </w:r>
      <w:r w:rsidRPr="002D1872">
        <w:t xml:space="preserve"> </w:t>
      </w:r>
    </w:p>
    <w:p w14:paraId="108F846F" w14:textId="77777777" w:rsidR="00863A4C" w:rsidRDefault="00863A4C" w:rsidP="00863A4C">
      <w:pPr>
        <w:pStyle w:val="SoSBrdtextindragfrstaraden"/>
        <w:rPr>
          <w:color w:val="auto"/>
        </w:rPr>
      </w:pPr>
      <w:r>
        <w:rPr>
          <w:color w:val="auto"/>
        </w:rPr>
        <w:t>I sammanhanget kan nämnas att det i</w:t>
      </w:r>
      <w:r w:rsidRPr="001D34AA">
        <w:rPr>
          <w:color w:val="auto"/>
        </w:rPr>
        <w:t xml:space="preserve"> Danmark har beslutats </w:t>
      </w:r>
      <w:r>
        <w:rPr>
          <w:color w:val="auto"/>
        </w:rPr>
        <w:t>att alla regioner i landet</w:t>
      </w:r>
      <w:r w:rsidRPr="001D34AA">
        <w:rPr>
          <w:color w:val="auto"/>
        </w:rPr>
        <w:t xml:space="preserve"> </w:t>
      </w:r>
      <w:r>
        <w:rPr>
          <w:color w:val="auto"/>
        </w:rPr>
        <w:t xml:space="preserve">ska </w:t>
      </w:r>
      <w:r w:rsidRPr="001D34AA">
        <w:rPr>
          <w:color w:val="auto"/>
        </w:rPr>
        <w:t xml:space="preserve">implementera </w:t>
      </w:r>
      <w:proofErr w:type="spellStart"/>
      <w:r w:rsidRPr="001D34AA">
        <w:rPr>
          <w:color w:val="auto"/>
        </w:rPr>
        <w:t>ProSang</w:t>
      </w:r>
      <w:proofErr w:type="spellEnd"/>
      <w:r w:rsidRPr="001D34AA">
        <w:rPr>
          <w:color w:val="auto"/>
        </w:rPr>
        <w:t xml:space="preserve"> inom de närmaste 1</w:t>
      </w:r>
      <w:r w:rsidRPr="00415656">
        <w:rPr>
          <w:color w:val="auto"/>
        </w:rPr>
        <w:t>-</w:t>
      </w:r>
      <w:r w:rsidRPr="001D34AA">
        <w:rPr>
          <w:color w:val="auto"/>
        </w:rPr>
        <w:t>2 åren för att underlätta samverkan gällande alla donatorer och patienter (blod, vävnad och celler).</w:t>
      </w:r>
      <w:r>
        <w:rPr>
          <w:rStyle w:val="Fotnotsreferens"/>
          <w:color w:val="auto"/>
        </w:rPr>
        <w:footnoteReference w:id="28"/>
      </w:r>
      <w:r>
        <w:rPr>
          <w:color w:val="auto"/>
        </w:rPr>
        <w:t xml:space="preserve"> </w:t>
      </w:r>
    </w:p>
    <w:p w14:paraId="6CD85D34" w14:textId="77777777" w:rsidR="00863A4C" w:rsidRDefault="00863A4C" w:rsidP="00863A4C">
      <w:pPr>
        <w:pStyle w:val="SoSBrdtextindragfrstaraden"/>
        <w:rPr>
          <w:rFonts w:ascii="OriginalGaramondBT-Roman" w:hAnsi="OriginalGaramondBT-Roman" w:cs="OriginalGaramondBT-Roman"/>
        </w:rPr>
      </w:pPr>
      <w:r>
        <w:rPr>
          <w:color w:val="auto"/>
        </w:rPr>
        <w:lastRenderedPageBreak/>
        <w:t xml:space="preserve">Som tidigare nämnts har det vid omvärldsanalysen även </w:t>
      </w:r>
      <w:r>
        <w:t>framförts som önskvärt att det hittas en lösning på en funktion som möjliggör att det går att få information om hur mycket blod av olika blodgrupper som finns att tillgå i de olika regionerna så att blodverksamheterna ska slippa ringa till varandra med förfrågningar om de får brist i sina blodlager. För att en sådan funktion ska vara möjlig att implementera, behöver det analyseras närmare om ett sådant förfarande omfattas av den nuvarande ändamålsbestämmelsen i lagen om blodsäkerhet eftersom det i</w:t>
      </w:r>
      <w:r w:rsidRPr="00E45FD4">
        <w:t xml:space="preserve">nte </w:t>
      </w:r>
      <w:r>
        <w:t xml:space="preserve">är </w:t>
      </w:r>
      <w:r w:rsidRPr="00E45FD4">
        <w:t xml:space="preserve">tillåtet att behandla personuppgifter i </w:t>
      </w:r>
      <w:r>
        <w:t>de lokala registren</w:t>
      </w:r>
      <w:r w:rsidRPr="00E45FD4">
        <w:t xml:space="preserve"> för andra ändamål än de som anges i bestämmelsen</w:t>
      </w:r>
      <w:r>
        <w:t xml:space="preserve"> (se 16 § lagen om blodsäkerhet och artikel 5.1 b EU:s dataskyddsförordning). Även de tekniska förutsättningarna för en sådan sökning behöver utredas. Ur ett beredskapsperspektiv bör det även övervägas om det ska finnas en administrativ funktion med uppgift att koordinera blod och blodkomponenter i en brist- eller krissituation, och om detta t.ex. skulle kunna uppdras åt </w:t>
      </w:r>
      <w:proofErr w:type="spellStart"/>
      <w:r>
        <w:t>SweBA</w:t>
      </w:r>
      <w:proofErr w:type="spellEnd"/>
      <w:r>
        <w:t xml:space="preserve"> eller någon enskild region.</w:t>
      </w:r>
    </w:p>
    <w:p w14:paraId="437C8DA6" w14:textId="5EF54633" w:rsidR="00863A4C" w:rsidRDefault="00863A4C" w:rsidP="00863A4C">
      <w:pPr>
        <w:pStyle w:val="Kommentarer"/>
      </w:pPr>
    </w:p>
    <w:p w14:paraId="0292EF25" w14:textId="77777777" w:rsidR="00863A4C" w:rsidRPr="00FB3192" w:rsidRDefault="00863A4C" w:rsidP="00863A4C">
      <w:pPr>
        <w:pStyle w:val="Kommentarer"/>
      </w:pPr>
    </w:p>
    <w:p w14:paraId="1C52F997" w14:textId="77777777" w:rsidR="00863A4C" w:rsidRDefault="00863A4C" w:rsidP="00863A4C">
      <w:pPr>
        <w:pStyle w:val="SoSBrdtextindragfrstaraden"/>
      </w:pPr>
    </w:p>
    <w:bookmarkEnd w:id="21"/>
    <w:sectPr w:rsidR="00863A4C" w:rsidSect="00267C2E">
      <w:headerReference w:type="even" r:id="rId15"/>
      <w:headerReference w:type="default" r:id="rId16"/>
      <w:footerReference w:type="even" r:id="rId17"/>
      <w:footerReference w:type="default" r:id="rId18"/>
      <w:headerReference w:type="first" r:id="rId19"/>
      <w:footerReference w:type="first" r:id="rId20"/>
      <w:pgSz w:w="11907" w:h="16840" w:code="9"/>
      <w:pgMar w:top="1758" w:right="2914" w:bottom="1701" w:left="1843" w:header="839"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A618" w14:textId="77777777" w:rsidR="00863A4C" w:rsidRDefault="00863A4C" w:rsidP="00915BAA">
      <w:r>
        <w:separator/>
      </w:r>
    </w:p>
  </w:endnote>
  <w:endnote w:type="continuationSeparator" w:id="0">
    <w:p w14:paraId="4F856417" w14:textId="77777777" w:rsidR="00863A4C" w:rsidRDefault="00863A4C"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OriginalGaramond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A293" w14:textId="77777777" w:rsidR="00CF46A6" w:rsidRDefault="00CF46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5D36" w14:textId="77777777" w:rsidR="00863A4C" w:rsidRDefault="00863A4C" w:rsidP="00AD481F">
    <w:pPr>
      <w:pStyle w:val="SoSSidfo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B332" w14:textId="77777777" w:rsidR="00CF46A6" w:rsidRDefault="00CF46A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259" w:type="dxa"/>
      <w:tblInd w:w="-1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824"/>
    </w:tblGrid>
    <w:tr w:rsidR="00863A4C" w14:paraId="2D9123A8" w14:textId="77777777" w:rsidTr="005C01EB">
      <w:trPr>
        <w:trHeight w:hRule="exact" w:val="391"/>
      </w:trPr>
      <w:tc>
        <w:tcPr>
          <w:tcW w:w="1435" w:type="dxa"/>
        </w:tcPr>
        <w:p w14:paraId="0DAB863B" w14:textId="09365F43" w:rsidR="00863A4C" w:rsidRPr="00AD481F" w:rsidRDefault="00863A4C" w:rsidP="00EB27AB">
          <w:pPr>
            <w:pStyle w:val="SoSSidfot"/>
            <w:jc w:val="left"/>
            <w:rPr>
              <w:sz w:val="16"/>
              <w:szCs w:val="16"/>
            </w:rPr>
          </w:pPr>
          <w:r w:rsidRPr="00AD481F">
            <w:rPr>
              <w:sz w:val="16"/>
              <w:szCs w:val="16"/>
            </w:rPr>
            <w:fldChar w:fldCharType="begin"/>
          </w:r>
          <w:r w:rsidRPr="00AD481F">
            <w:rPr>
              <w:sz w:val="16"/>
              <w:szCs w:val="16"/>
            </w:rPr>
            <w:instrText>PAGE   \* MERGEFORMAT</w:instrText>
          </w:r>
          <w:r w:rsidRPr="00AD481F">
            <w:rPr>
              <w:sz w:val="16"/>
              <w:szCs w:val="16"/>
            </w:rPr>
            <w:fldChar w:fldCharType="separate"/>
          </w:r>
          <w:r w:rsidR="001E5BB7">
            <w:rPr>
              <w:noProof/>
              <w:sz w:val="16"/>
              <w:szCs w:val="16"/>
            </w:rPr>
            <w:t>26</w:t>
          </w:r>
          <w:r w:rsidRPr="00AD481F">
            <w:rPr>
              <w:sz w:val="16"/>
              <w:szCs w:val="16"/>
            </w:rPr>
            <w:fldChar w:fldCharType="end"/>
          </w:r>
        </w:p>
      </w:tc>
      <w:tc>
        <w:tcPr>
          <w:tcW w:w="7824" w:type="dxa"/>
        </w:tcPr>
        <w:sdt>
          <w:sdtPr>
            <w:alias w:val="Title"/>
            <w:tag w:val=""/>
            <w:id w:val="-665316425"/>
            <w:placeholder>
              <w:docPart w:val="AB17A83D0F91423D89A605807C409C4F"/>
            </w:placeholder>
            <w:dataBinding w:prefixMappings="xmlns:ns0='http://purl.org/dc/elements/1.1/' xmlns:ns1='http://schemas.openxmlformats.org/package/2006/metadata/core-properties' " w:xpath="/ns1:coreProperties[1]/ns0:title[1]" w:storeItemID="{6C3C8BC8-F283-45AE-878A-BAB7291924A1}"/>
            <w:text/>
          </w:sdtPr>
          <w:sdtEndPr/>
          <w:sdtContent>
            <w:p w14:paraId="08494E45" w14:textId="77777777" w:rsidR="00863A4C" w:rsidRDefault="00863A4C" w:rsidP="00C975D1">
              <w:pPr>
                <w:pStyle w:val="SoSSidfot"/>
              </w:pPr>
              <w:r>
                <w:t>Nationellt register över blodgivare och plan för ökad kapacitet</w:t>
              </w:r>
            </w:p>
          </w:sdtContent>
        </w:sdt>
        <w:p w14:paraId="7F4C4F74" w14:textId="77777777" w:rsidR="00863A4C" w:rsidRPr="00EB27AB" w:rsidRDefault="00863A4C" w:rsidP="00C975D1">
          <w:pPr>
            <w:pStyle w:val="SoSSidfot"/>
            <w:rPr>
              <w:sz w:val="16"/>
              <w:szCs w:val="16"/>
            </w:rPr>
          </w:pPr>
          <w:r>
            <w:t>Socialstyrelsen</w:t>
          </w:r>
        </w:p>
      </w:tc>
    </w:tr>
  </w:tbl>
  <w:p w14:paraId="3411AA17" w14:textId="77777777" w:rsidR="00863A4C" w:rsidRDefault="00863A4C">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7"/>
      <w:gridCol w:w="1162"/>
    </w:tblGrid>
    <w:tr w:rsidR="00863A4C" w14:paraId="03B6F158" w14:textId="77777777" w:rsidTr="00902F6B">
      <w:trPr>
        <w:trHeight w:hRule="exact" w:val="391"/>
      </w:trPr>
      <w:tc>
        <w:tcPr>
          <w:tcW w:w="8107" w:type="dxa"/>
        </w:tcPr>
        <w:p w14:paraId="1CB410D5" w14:textId="77777777" w:rsidR="00863A4C" w:rsidRDefault="001E5BB7" w:rsidP="000E08AB">
          <w:pPr>
            <w:pStyle w:val="SoSSidfot"/>
            <w:jc w:val="left"/>
          </w:pPr>
          <w:sdt>
            <w:sdtPr>
              <w:alias w:val="Title"/>
              <w:tag w:val=""/>
              <w:id w:val="1479722698"/>
              <w:placeholder>
                <w:docPart w:val="A2AFDADB945644C39F61939A74346583"/>
              </w:placeholder>
              <w:dataBinding w:prefixMappings="xmlns:ns0='http://purl.org/dc/elements/1.1/' xmlns:ns1='http://schemas.openxmlformats.org/package/2006/metadata/core-properties' " w:xpath="/ns1:coreProperties[1]/ns0:title[1]" w:storeItemID="{6C3C8BC8-F283-45AE-878A-BAB7291924A1}"/>
              <w:text/>
            </w:sdtPr>
            <w:sdtEndPr/>
            <w:sdtContent>
              <w:r w:rsidR="00863A4C">
                <w:t>Nationellt register över blodgivare och plan för ökad kapacitet</w:t>
              </w:r>
            </w:sdtContent>
          </w:sdt>
          <w:r w:rsidR="00863A4C">
            <w:br/>
            <w:t>Socialstyrelsen</w:t>
          </w:r>
        </w:p>
      </w:tc>
      <w:tc>
        <w:tcPr>
          <w:tcW w:w="1162" w:type="dxa"/>
        </w:tcPr>
        <w:p w14:paraId="42F6736D" w14:textId="146CF6CC" w:rsidR="00863A4C" w:rsidRPr="00AD481F" w:rsidRDefault="00863A4C" w:rsidP="000E08AB">
          <w:pPr>
            <w:pStyle w:val="SoSSidfot"/>
            <w:rPr>
              <w:sz w:val="16"/>
              <w:szCs w:val="16"/>
            </w:rPr>
          </w:pPr>
          <w:r w:rsidRPr="00AD481F">
            <w:rPr>
              <w:sz w:val="16"/>
              <w:szCs w:val="16"/>
            </w:rPr>
            <w:fldChar w:fldCharType="begin"/>
          </w:r>
          <w:r w:rsidRPr="00AD481F">
            <w:rPr>
              <w:sz w:val="16"/>
              <w:szCs w:val="16"/>
            </w:rPr>
            <w:instrText>PAGE   \* MERGEFORMAT</w:instrText>
          </w:r>
          <w:r w:rsidRPr="00AD481F">
            <w:rPr>
              <w:sz w:val="16"/>
              <w:szCs w:val="16"/>
            </w:rPr>
            <w:fldChar w:fldCharType="separate"/>
          </w:r>
          <w:r w:rsidR="001E5BB7">
            <w:rPr>
              <w:noProof/>
              <w:sz w:val="16"/>
              <w:szCs w:val="16"/>
            </w:rPr>
            <w:t>27</w:t>
          </w:r>
          <w:r w:rsidRPr="00AD481F">
            <w:rPr>
              <w:sz w:val="16"/>
              <w:szCs w:val="16"/>
            </w:rPr>
            <w:fldChar w:fldCharType="end"/>
          </w:r>
        </w:p>
      </w:tc>
    </w:tr>
  </w:tbl>
  <w:p w14:paraId="1C558128" w14:textId="77777777" w:rsidR="00863A4C" w:rsidRDefault="00863A4C" w:rsidP="00AD481F">
    <w:pPr>
      <w:pStyle w:val="SoSSidfot"/>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7141"/>
    </w:tblGrid>
    <w:tr w:rsidR="00863A4C" w14:paraId="07770A5C" w14:textId="77777777" w:rsidTr="00DE277D">
      <w:trPr>
        <w:trHeight w:hRule="exact" w:val="391"/>
      </w:trPr>
      <w:tc>
        <w:tcPr>
          <w:tcW w:w="2072" w:type="dxa"/>
        </w:tcPr>
        <w:p w14:paraId="55D505D2" w14:textId="77777777" w:rsidR="00863A4C" w:rsidRPr="00AD481F" w:rsidRDefault="00863A4C" w:rsidP="00DE277D">
          <w:pPr>
            <w:pStyle w:val="SoSSidfot"/>
            <w:jc w:val="left"/>
            <w:rPr>
              <w:sz w:val="16"/>
              <w:szCs w:val="16"/>
            </w:rPr>
          </w:pPr>
          <w:r w:rsidRPr="00AD481F">
            <w:rPr>
              <w:sz w:val="16"/>
              <w:szCs w:val="16"/>
            </w:rPr>
            <w:fldChar w:fldCharType="begin"/>
          </w:r>
          <w:r w:rsidRPr="00AD481F">
            <w:rPr>
              <w:sz w:val="16"/>
              <w:szCs w:val="16"/>
            </w:rPr>
            <w:instrText>PAGE   \* MERGEFORMAT</w:instrText>
          </w:r>
          <w:r w:rsidRPr="00AD481F">
            <w:rPr>
              <w:sz w:val="16"/>
              <w:szCs w:val="16"/>
            </w:rPr>
            <w:fldChar w:fldCharType="separate"/>
          </w:r>
          <w:r>
            <w:rPr>
              <w:noProof/>
              <w:sz w:val="16"/>
              <w:szCs w:val="16"/>
            </w:rPr>
            <w:t>4</w:t>
          </w:r>
          <w:r w:rsidRPr="00AD481F">
            <w:rPr>
              <w:sz w:val="16"/>
              <w:szCs w:val="16"/>
            </w:rPr>
            <w:fldChar w:fldCharType="end"/>
          </w:r>
        </w:p>
      </w:tc>
      <w:tc>
        <w:tcPr>
          <w:tcW w:w="7141" w:type="dxa"/>
        </w:tcPr>
        <w:p w14:paraId="684D369B" w14:textId="77777777" w:rsidR="00863A4C" w:rsidRDefault="00863A4C" w:rsidP="00DE277D">
          <w:pPr>
            <w:pStyle w:val="SoSSidfot"/>
          </w:pPr>
          <w:r>
            <w:t>Skolans betydelse för barns och ungas psykiska hälsa</w:t>
          </w:r>
        </w:p>
        <w:p w14:paraId="7534D908" w14:textId="77777777" w:rsidR="00863A4C" w:rsidRDefault="00863A4C" w:rsidP="00DE277D">
          <w:pPr>
            <w:pStyle w:val="SoSSidfot"/>
          </w:pPr>
          <w:r>
            <w:t>Socialstyrelsen</w:t>
          </w:r>
        </w:p>
      </w:tc>
    </w:tr>
  </w:tbl>
  <w:p w14:paraId="7CD52809" w14:textId="77777777" w:rsidR="00863A4C" w:rsidRDefault="00863A4C" w:rsidP="00674A9D">
    <w:pPr>
      <w:pStyle w:val="SoS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8E73" w14:textId="77777777" w:rsidR="00863A4C" w:rsidRDefault="00863A4C" w:rsidP="00915BAA">
      <w:r>
        <w:separator/>
      </w:r>
    </w:p>
  </w:footnote>
  <w:footnote w:type="continuationSeparator" w:id="0">
    <w:p w14:paraId="257C5DD0" w14:textId="77777777" w:rsidR="00863A4C" w:rsidRDefault="00863A4C" w:rsidP="00915BAA">
      <w:r>
        <w:continuationSeparator/>
      </w:r>
    </w:p>
  </w:footnote>
  <w:footnote w:id="1">
    <w:p w14:paraId="186ABED5" w14:textId="77777777" w:rsidR="00863A4C" w:rsidRDefault="00863A4C" w:rsidP="00017209">
      <w:pPr>
        <w:pStyle w:val="Fotnotstext"/>
      </w:pPr>
      <w:r>
        <w:rPr>
          <w:rStyle w:val="Fotnotsreferens"/>
        </w:rPr>
        <w:footnoteRef/>
      </w:r>
      <w:r>
        <w:t xml:space="preserve"> De andra två uppdragen är: Uppdrag att utveckla särskilda </w:t>
      </w:r>
      <w:proofErr w:type="spellStart"/>
      <w:r>
        <w:t>prioriteringsprinciper</w:t>
      </w:r>
      <w:proofErr w:type="spellEnd"/>
      <w:r>
        <w:t xml:space="preserve"> för hälso- och sjukvården som gäller vid kris och krig. S2021/02920 (delvis) och Uppdrag att ta fram nationella utbildnings- och </w:t>
      </w:r>
      <w:proofErr w:type="spellStart"/>
      <w:r>
        <w:t>övningsplaner</w:t>
      </w:r>
      <w:proofErr w:type="spellEnd"/>
      <w:r>
        <w:t xml:space="preserve"> för katastrofmedicinsk beredskap och civilt försvar samt nationell samordning av utbildning och övning. S2021/02922 (delvis).</w:t>
      </w:r>
    </w:p>
  </w:footnote>
  <w:footnote w:id="2">
    <w:p w14:paraId="60267A61" w14:textId="211B44C6" w:rsidR="00863A4C" w:rsidRDefault="00863A4C">
      <w:pPr>
        <w:pStyle w:val="Fotnotstext"/>
      </w:pPr>
      <w:r>
        <w:rPr>
          <w:rStyle w:val="Fotnotsreferens"/>
        </w:rPr>
        <w:footnoteRef/>
      </w:r>
      <w:r>
        <w:t xml:space="preserve"> </w:t>
      </w:r>
      <w:proofErr w:type="gramStart"/>
      <w:r w:rsidRPr="00382481">
        <w:rPr>
          <w:rStyle w:val="Fotnotsreferens"/>
        </w:rPr>
        <w:t>Dvs</w:t>
      </w:r>
      <w:proofErr w:type="gramEnd"/>
      <w:r w:rsidRPr="00382481">
        <w:rPr>
          <w:rStyle w:val="Fotnotsreferens"/>
        </w:rPr>
        <w:t xml:space="preserve"> en ogynnsam reaktion hos mottagare av blod eller blodprodukter</w:t>
      </w:r>
    </w:p>
  </w:footnote>
  <w:footnote w:id="3">
    <w:p w14:paraId="586A5A85" w14:textId="77777777" w:rsidR="00863A4C" w:rsidRPr="00E21474" w:rsidRDefault="00863A4C" w:rsidP="003D03B2">
      <w:pPr>
        <w:pStyle w:val="Fotnotstext"/>
        <w:rPr>
          <w:rStyle w:val="Fotnotsreferens"/>
        </w:rPr>
      </w:pPr>
      <w:r>
        <w:rPr>
          <w:rStyle w:val="Fotnotsreferens"/>
        </w:rPr>
        <w:footnoteRef/>
      </w:r>
      <w:r w:rsidRPr="00E21474">
        <w:rPr>
          <w:rStyle w:val="Fotnotsreferens"/>
        </w:rPr>
        <w:t xml:space="preserve"> Kunskapsunderlag från Folkhälsomyndigheten inför revidering av föreskrift SOSFS 2009:28</w:t>
      </w:r>
      <w:bookmarkStart w:id="16" w:name="_GoBack"/>
      <w:bookmarkEnd w:id="16"/>
    </w:p>
    <w:p w14:paraId="031F7F8E" w14:textId="77777777" w:rsidR="00863A4C" w:rsidRDefault="00863A4C" w:rsidP="003D03B2">
      <w:pPr>
        <w:pStyle w:val="Fotnotstext"/>
      </w:pPr>
    </w:p>
  </w:footnote>
  <w:footnote w:id="4">
    <w:p w14:paraId="180452DA" w14:textId="3CFF0081" w:rsidR="00F929C8" w:rsidRDefault="00F929C8">
      <w:pPr>
        <w:pStyle w:val="Fotnotstext"/>
      </w:pPr>
      <w:r>
        <w:rPr>
          <w:rStyle w:val="Fotnotsreferens"/>
        </w:rPr>
        <w:footnoteRef/>
      </w:r>
      <w:r w:rsidRPr="00F929C8">
        <w:rPr>
          <w:rStyle w:val="Fotnotsreferens"/>
        </w:rPr>
        <w:t xml:space="preserve"> Dnr 11038/2021-1</w:t>
      </w:r>
    </w:p>
  </w:footnote>
  <w:footnote w:id="5">
    <w:p w14:paraId="6A6D18E4" w14:textId="77777777" w:rsidR="00863A4C" w:rsidRDefault="00863A4C" w:rsidP="003D03B2">
      <w:pPr>
        <w:pStyle w:val="Fotnotstext"/>
      </w:pPr>
      <w:r>
        <w:rPr>
          <w:rStyle w:val="Fotnotsreferens"/>
        </w:rPr>
        <w:footnoteRef/>
      </w:r>
      <w:r>
        <w:t xml:space="preserve"> </w:t>
      </w:r>
      <w:r w:rsidRPr="00712AB7">
        <w:rPr>
          <w:rStyle w:val="Fotnotsreferens"/>
        </w:rPr>
        <w:t>Information från Försvarsmakten</w:t>
      </w:r>
    </w:p>
  </w:footnote>
  <w:footnote w:id="6">
    <w:p w14:paraId="49090CCA" w14:textId="77777777" w:rsidR="00863A4C" w:rsidRPr="00213673" w:rsidRDefault="00863A4C" w:rsidP="00863A4C">
      <w:pPr>
        <w:pStyle w:val="Fotnotstext"/>
      </w:pPr>
      <w:r>
        <w:rPr>
          <w:rStyle w:val="Fotnotsreferens"/>
        </w:rPr>
        <w:footnoteRef/>
      </w:r>
      <w:r>
        <w:t xml:space="preserve"> SOU 2020:23 </w:t>
      </w:r>
      <w:r w:rsidRPr="00213673">
        <w:rPr>
          <w:i/>
        </w:rPr>
        <w:t>Hälso- och sjukvård i det civila försvaret - underlag till försvarspolitisk inriktning</w:t>
      </w:r>
      <w:r>
        <w:t>, s. 181.</w:t>
      </w:r>
    </w:p>
  </w:footnote>
  <w:footnote w:id="7">
    <w:p w14:paraId="6CC71F19" w14:textId="77777777" w:rsidR="00253536" w:rsidRDefault="00253536" w:rsidP="00253536">
      <w:pPr>
        <w:pStyle w:val="Fotnotstext"/>
      </w:pPr>
      <w:r>
        <w:rPr>
          <w:rStyle w:val="Fotnotsreferens"/>
        </w:rPr>
        <w:footnoteRef/>
      </w:r>
      <w:r>
        <w:t xml:space="preserve"> Dessa koder </w:t>
      </w:r>
      <w:r w:rsidRPr="001D34F5">
        <w:t xml:space="preserve">möjliggör </w:t>
      </w:r>
      <w:r>
        <w:t>förmedling av</w:t>
      </w:r>
      <w:r w:rsidRPr="001D34F5">
        <w:t xml:space="preserve"> viss information om en givare till andra kollegor vid nästa blodgivning</w:t>
      </w:r>
      <w:r>
        <w:t>, såsom att spärra en viss givare eller att förmedla att extra prover behöver beställas vid blodgivning.</w:t>
      </w:r>
    </w:p>
  </w:footnote>
  <w:footnote w:id="8">
    <w:p w14:paraId="2E010043" w14:textId="77777777" w:rsidR="00253536" w:rsidRDefault="00253536" w:rsidP="00253536">
      <w:pPr>
        <w:pStyle w:val="Fotnotstext"/>
      </w:pPr>
      <w:r>
        <w:rPr>
          <w:rStyle w:val="Fotnotsreferens"/>
        </w:rPr>
        <w:footnoteRef/>
      </w:r>
      <w:r>
        <w:t xml:space="preserve"> Frisläppning innebär att blodenheten är </w:t>
      </w:r>
      <w:proofErr w:type="spellStart"/>
      <w:r>
        <w:t>godkännd</w:t>
      </w:r>
      <w:proofErr w:type="spellEnd"/>
      <w:r>
        <w:t xml:space="preserve"> för transfusion eller för distribution som råvara för läkemedelstillverkning.</w:t>
      </w:r>
    </w:p>
  </w:footnote>
  <w:footnote w:id="9">
    <w:p w14:paraId="7169AC45" w14:textId="77777777" w:rsidR="00863A4C" w:rsidRDefault="00863A4C" w:rsidP="00863A4C">
      <w:pPr>
        <w:pStyle w:val="Fotnotstext"/>
        <w:spacing w:line="240" w:lineRule="auto"/>
      </w:pPr>
      <w:r>
        <w:rPr>
          <w:rStyle w:val="Fotnotsreferens"/>
        </w:rPr>
        <w:footnoteRef/>
      </w:r>
      <w:r>
        <w:t xml:space="preserve"> </w:t>
      </w:r>
      <w:r w:rsidRPr="00917809">
        <w:t xml:space="preserve">CSAM </w:t>
      </w:r>
      <w:proofErr w:type="spellStart"/>
      <w:r w:rsidRPr="00917809">
        <w:t>ProSang</w:t>
      </w:r>
      <w:proofErr w:type="spellEnd"/>
      <w:r w:rsidRPr="00917809">
        <w:t xml:space="preserve"> är ett avancerat </w:t>
      </w:r>
      <w:proofErr w:type="spellStart"/>
      <w:r w:rsidRPr="00917809">
        <w:t>Laboratory</w:t>
      </w:r>
      <w:proofErr w:type="spellEnd"/>
      <w:r w:rsidRPr="00917809">
        <w:t xml:space="preserve"> Information Management System (LIMS) som förenklar hela hanteringen av blod, celler och vävnader – från donation till transfusion eller transplantation. Det används i fem länder, på mer än 180 blodc</w:t>
      </w:r>
      <w:r>
        <w:t xml:space="preserve">entraler i 26 sjukvårdsregioner. Information hämtad 2021-12-10 från </w:t>
      </w:r>
      <w:hyperlink r:id="rId1" w:history="1">
        <w:r w:rsidRPr="005061BE">
          <w:rPr>
            <w:rStyle w:val="Hyperlnk"/>
          </w:rPr>
          <w:t>https://www.csamhealth.com/solutions/lims/csam-prosang/</w:t>
        </w:r>
      </w:hyperlink>
      <w:r>
        <w:t xml:space="preserve">. </w:t>
      </w:r>
      <w:proofErr w:type="gramStart"/>
      <w:r>
        <w:t>Fr o m</w:t>
      </w:r>
      <w:proofErr w:type="gramEnd"/>
      <w:r>
        <w:t xml:space="preserve"> januari 2022 kommer alla blodverksamheter i Sverige vara anslutna till </w:t>
      </w:r>
      <w:proofErr w:type="spellStart"/>
      <w:r>
        <w:t>ProSang</w:t>
      </w:r>
      <w:proofErr w:type="spellEnd"/>
      <w:r>
        <w:t xml:space="preserve">. </w:t>
      </w:r>
    </w:p>
  </w:footnote>
  <w:footnote w:id="10">
    <w:p w14:paraId="7E02D7FC" w14:textId="77777777" w:rsidR="00863A4C" w:rsidRDefault="00863A4C" w:rsidP="00863A4C">
      <w:pPr>
        <w:pStyle w:val="Fotnotstext"/>
        <w:spacing w:line="240" w:lineRule="auto"/>
      </w:pPr>
      <w:r>
        <w:rPr>
          <w:rStyle w:val="Fotnotsreferens"/>
        </w:rPr>
        <w:footnoteRef/>
      </w:r>
      <w:r>
        <w:t xml:space="preserve"> </w:t>
      </w:r>
      <w:r>
        <w:rPr>
          <w:szCs w:val="15"/>
        </w:rPr>
        <w:t xml:space="preserve">Kommissionens direktiv 2004/33/EG om genomförande av Europaparlamentets och rådets direktiv 2002/98/EG i fråga om vissa tekniska krav på blod och blodkomponenter, kommissionens direktiv 2005/61/EG om genomförande av Europaparlamentets och rådets direktiv 2002/98/EG i fråga om krav på spårbarhet och rapportering av allvarliga biverkningar och avvikande händelser samt kommissionens direktiv 2005/62/EG om genomförande av Europaparlamentets och rådets direktiv 2002/98/EG när det gäller gemenskapens standarder och specifikationer angående kvalitetssystem för blodcentraler. </w:t>
      </w:r>
      <w:r>
        <w:t xml:space="preserve"> </w:t>
      </w:r>
    </w:p>
  </w:footnote>
  <w:footnote w:id="11">
    <w:p w14:paraId="4E24E7BD" w14:textId="77777777" w:rsidR="00863A4C" w:rsidRPr="00976566" w:rsidRDefault="00863A4C" w:rsidP="00863A4C">
      <w:pPr>
        <w:pStyle w:val="Fotnotstext"/>
        <w:spacing w:line="240" w:lineRule="auto"/>
        <w:rPr>
          <w:szCs w:val="15"/>
        </w:rPr>
      </w:pPr>
      <w:r w:rsidRPr="00976566">
        <w:rPr>
          <w:rStyle w:val="Fotnotsreferens"/>
          <w:szCs w:val="15"/>
        </w:rPr>
        <w:footnoteRef/>
      </w:r>
      <w:r w:rsidRPr="00976566">
        <w:rPr>
          <w:szCs w:val="15"/>
        </w:rPr>
        <w:t xml:space="preserve"> Europaparlamentets och rådets förordning (EU) 2017/745 av den 5 april 2017 om medicintekniska produkter, om ändring av direktiv 2001/83/EG, förordning (EG) nr 178/2002 och förordning (EG) nr 1223/2009 och om upphävande av rådets direktiv 90/385/EEG och 93/42/EEG.</w:t>
      </w:r>
    </w:p>
  </w:footnote>
  <w:footnote w:id="12">
    <w:p w14:paraId="78DB2DF9" w14:textId="77777777" w:rsidR="00863A4C" w:rsidRPr="001C2EE9" w:rsidRDefault="00863A4C" w:rsidP="00863A4C">
      <w:pPr>
        <w:pStyle w:val="Fotnotstext"/>
        <w:spacing w:line="240" w:lineRule="auto"/>
      </w:pPr>
      <w:r>
        <w:rPr>
          <w:rStyle w:val="Fotnotsreferens"/>
        </w:rPr>
        <w:footnoteRef/>
      </w:r>
      <w:r>
        <w:t xml:space="preserve"> Prop. 2005/06:141 </w:t>
      </w:r>
      <w:r>
        <w:rPr>
          <w:i/>
        </w:rPr>
        <w:t>Genomförande av EG-direktivet om kvalitet och säkerhet hos blod och blodkomponenter</w:t>
      </w:r>
      <w:r>
        <w:t>, s. 29f., hänvisas till den tidigare gällande hälso- och sjukvårdslagen (1982:763). Eftersom definitionen av vad som utgör hälso- och sjukvård är densamma i den nu gällande hälso- och sjukvårdslagen är den bedömning som gjorts i förarbetena fortfarande aktuell (se SOU 2017:66, s. 547).</w:t>
      </w:r>
    </w:p>
  </w:footnote>
  <w:footnote w:id="13">
    <w:p w14:paraId="0B7FB461" w14:textId="77777777" w:rsidR="00863A4C" w:rsidRPr="00656692" w:rsidRDefault="00863A4C" w:rsidP="00863A4C">
      <w:pPr>
        <w:pStyle w:val="Fotnotstext"/>
        <w:rPr>
          <w:lang w:val="en-GB"/>
        </w:rPr>
      </w:pPr>
      <w:r>
        <w:rPr>
          <w:rStyle w:val="Fotnotsreferens"/>
        </w:rPr>
        <w:footnoteRef/>
      </w:r>
      <w:r w:rsidRPr="00656692">
        <w:rPr>
          <w:lang w:val="en-GB"/>
        </w:rPr>
        <w:t xml:space="preserve"> </w:t>
      </w:r>
      <w:proofErr w:type="spellStart"/>
      <w:proofErr w:type="gramStart"/>
      <w:r>
        <w:rPr>
          <w:lang w:val="en-GB"/>
        </w:rPr>
        <w:t>A</w:t>
      </w:r>
      <w:r w:rsidRPr="00656692">
        <w:rPr>
          <w:lang w:val="en-GB"/>
        </w:rPr>
        <w:t>.a</w:t>
      </w:r>
      <w:proofErr w:type="spellEnd"/>
      <w:proofErr w:type="gramEnd"/>
      <w:r w:rsidRPr="00656692">
        <w:rPr>
          <w:lang w:val="en-GB"/>
        </w:rPr>
        <w:t>., s. 29</w:t>
      </w:r>
      <w:r>
        <w:rPr>
          <w:lang w:val="en-GB"/>
        </w:rPr>
        <w:t xml:space="preserve"> </w:t>
      </w:r>
      <w:r w:rsidRPr="00656692">
        <w:rPr>
          <w:lang w:val="en-GB"/>
        </w:rPr>
        <w:t xml:space="preserve">f. </w:t>
      </w:r>
    </w:p>
  </w:footnote>
  <w:footnote w:id="14">
    <w:p w14:paraId="3D3797B9" w14:textId="77777777" w:rsidR="00863A4C" w:rsidRPr="00656692" w:rsidRDefault="00863A4C" w:rsidP="00863A4C">
      <w:pPr>
        <w:pStyle w:val="Fotnotstext"/>
        <w:spacing w:line="240" w:lineRule="auto"/>
        <w:rPr>
          <w:lang w:val="en-GB"/>
        </w:rPr>
      </w:pPr>
      <w:r>
        <w:rPr>
          <w:rStyle w:val="Fotnotsreferens"/>
        </w:rPr>
        <w:footnoteRef/>
      </w:r>
      <w:r w:rsidRPr="00656692">
        <w:rPr>
          <w:lang w:val="en-GB"/>
        </w:rPr>
        <w:t xml:space="preserve"> </w:t>
      </w:r>
      <w:proofErr w:type="spellStart"/>
      <w:proofErr w:type="gramStart"/>
      <w:r>
        <w:rPr>
          <w:lang w:val="en-GB"/>
        </w:rPr>
        <w:t>A</w:t>
      </w:r>
      <w:r w:rsidRPr="00656692">
        <w:rPr>
          <w:lang w:val="en-GB"/>
        </w:rPr>
        <w:t>.a</w:t>
      </w:r>
      <w:proofErr w:type="spellEnd"/>
      <w:proofErr w:type="gramEnd"/>
      <w:r w:rsidRPr="00656692">
        <w:rPr>
          <w:lang w:val="en-GB"/>
        </w:rPr>
        <w:t>., s. 49.</w:t>
      </w:r>
    </w:p>
  </w:footnote>
  <w:footnote w:id="15">
    <w:p w14:paraId="18C46DAD" w14:textId="77777777" w:rsidR="00863A4C" w:rsidRPr="00656692" w:rsidRDefault="00863A4C" w:rsidP="00863A4C">
      <w:pPr>
        <w:pStyle w:val="Fotnotstext"/>
        <w:spacing w:line="240" w:lineRule="auto"/>
        <w:rPr>
          <w:lang w:val="en-GB"/>
        </w:rPr>
      </w:pPr>
      <w:r>
        <w:rPr>
          <w:rStyle w:val="Fotnotsreferens"/>
        </w:rPr>
        <w:footnoteRef/>
      </w:r>
      <w:r w:rsidRPr="00656692">
        <w:rPr>
          <w:lang w:val="en-GB"/>
        </w:rPr>
        <w:t xml:space="preserve"> </w:t>
      </w:r>
      <w:proofErr w:type="spellStart"/>
      <w:proofErr w:type="gramStart"/>
      <w:r>
        <w:rPr>
          <w:lang w:val="en-GB"/>
        </w:rPr>
        <w:t>A</w:t>
      </w:r>
      <w:r w:rsidRPr="00656692">
        <w:rPr>
          <w:lang w:val="en-GB"/>
        </w:rPr>
        <w:t>.a</w:t>
      </w:r>
      <w:proofErr w:type="spellEnd"/>
      <w:proofErr w:type="gramEnd"/>
      <w:r w:rsidRPr="00656692">
        <w:rPr>
          <w:lang w:val="en-GB"/>
        </w:rPr>
        <w:t xml:space="preserve">., s. 50 f. </w:t>
      </w:r>
    </w:p>
  </w:footnote>
  <w:footnote w:id="16">
    <w:p w14:paraId="42B034AE" w14:textId="77777777" w:rsidR="00863A4C" w:rsidRDefault="00863A4C" w:rsidP="00863A4C">
      <w:pPr>
        <w:pStyle w:val="Fotnotstext"/>
        <w:spacing w:line="240" w:lineRule="auto"/>
      </w:pPr>
      <w:r>
        <w:rPr>
          <w:rStyle w:val="Fotnotsreferens"/>
        </w:rPr>
        <w:footnoteRef/>
      </w:r>
      <w:r>
        <w:t xml:space="preserve"> A.a., s. 51. Se även 5 kap. 2 § SOSFS 2009:28.</w:t>
      </w:r>
    </w:p>
  </w:footnote>
  <w:footnote w:id="17">
    <w:p w14:paraId="7CE1BED7" w14:textId="77777777" w:rsidR="00863A4C" w:rsidRDefault="00863A4C" w:rsidP="00863A4C">
      <w:pPr>
        <w:pStyle w:val="Kommentarer"/>
      </w:pPr>
      <w:r w:rsidRPr="004D3660">
        <w:rPr>
          <w:rStyle w:val="Fotnotsreferens"/>
          <w:sz w:val="15"/>
          <w:szCs w:val="15"/>
        </w:rPr>
        <w:footnoteRef/>
      </w:r>
      <w:r w:rsidRPr="004D3660">
        <w:rPr>
          <w:sz w:val="15"/>
          <w:szCs w:val="15"/>
        </w:rPr>
        <w:t xml:space="preserve"> </w:t>
      </w:r>
      <w:r w:rsidRPr="004E388B">
        <w:rPr>
          <w:sz w:val="15"/>
          <w:szCs w:val="15"/>
        </w:rPr>
        <w:t xml:space="preserve">Socialstyrelsen har </w:t>
      </w:r>
      <w:r>
        <w:rPr>
          <w:sz w:val="15"/>
          <w:szCs w:val="15"/>
        </w:rPr>
        <w:t>lämnat in en framställan till regeringen</w:t>
      </w:r>
      <w:r w:rsidRPr="004E388B">
        <w:rPr>
          <w:sz w:val="15"/>
          <w:szCs w:val="15"/>
        </w:rPr>
        <w:t xml:space="preserve"> om att 7 a och 7 b </w:t>
      </w:r>
      <w:proofErr w:type="gramStart"/>
      <w:r w:rsidRPr="004E388B">
        <w:rPr>
          <w:sz w:val="15"/>
          <w:szCs w:val="15"/>
        </w:rPr>
        <w:t>§§</w:t>
      </w:r>
      <w:proofErr w:type="gramEnd"/>
      <w:r w:rsidRPr="004E388B">
        <w:rPr>
          <w:sz w:val="15"/>
          <w:szCs w:val="15"/>
        </w:rPr>
        <w:t xml:space="preserve"> </w:t>
      </w:r>
      <w:r>
        <w:rPr>
          <w:sz w:val="15"/>
          <w:szCs w:val="15"/>
        </w:rPr>
        <w:t xml:space="preserve">i </w:t>
      </w:r>
      <w:r w:rsidRPr="004E388B">
        <w:rPr>
          <w:sz w:val="15"/>
          <w:szCs w:val="15"/>
        </w:rPr>
        <w:t>förordningen om blodsäkerhet ska ändras på så sätt att Socialstyrelsen, istället för Inspektionen för vård och omsorg, åter bör få rätt att meddela föreskrifter enligt bestämmelserna</w:t>
      </w:r>
      <w:r>
        <w:rPr>
          <w:sz w:val="15"/>
          <w:szCs w:val="15"/>
        </w:rPr>
        <w:t xml:space="preserve"> (se Socialstyrelsens dnr 4.1-18323/2020)</w:t>
      </w:r>
      <w:r w:rsidRPr="004E388B">
        <w:rPr>
          <w:sz w:val="15"/>
          <w:szCs w:val="15"/>
        </w:rPr>
        <w:t xml:space="preserve">. </w:t>
      </w:r>
      <w:r>
        <w:rPr>
          <w:sz w:val="15"/>
          <w:szCs w:val="15"/>
        </w:rPr>
        <w:t>D</w:t>
      </w:r>
      <w:r w:rsidRPr="004E388B">
        <w:rPr>
          <w:sz w:val="15"/>
          <w:szCs w:val="15"/>
        </w:rPr>
        <w:t xml:space="preserve">et huvudsakliga skälet till framställan </w:t>
      </w:r>
      <w:r>
        <w:rPr>
          <w:sz w:val="15"/>
          <w:szCs w:val="15"/>
        </w:rPr>
        <w:t>är</w:t>
      </w:r>
      <w:r w:rsidRPr="004E388B">
        <w:rPr>
          <w:sz w:val="15"/>
          <w:szCs w:val="15"/>
        </w:rPr>
        <w:t xml:space="preserve"> att </w:t>
      </w:r>
      <w:r>
        <w:rPr>
          <w:sz w:val="15"/>
          <w:szCs w:val="15"/>
        </w:rPr>
        <w:t xml:space="preserve">på föreskriftsnivå </w:t>
      </w:r>
      <w:r w:rsidRPr="004E388B">
        <w:rPr>
          <w:sz w:val="15"/>
          <w:szCs w:val="15"/>
        </w:rPr>
        <w:t>möjliggöra en s</w:t>
      </w:r>
      <w:r>
        <w:rPr>
          <w:sz w:val="15"/>
          <w:szCs w:val="15"/>
        </w:rPr>
        <w:t>ammanhållen och mer tillgänglig och överskådlig</w:t>
      </w:r>
      <w:r w:rsidRPr="004E388B">
        <w:rPr>
          <w:sz w:val="15"/>
          <w:szCs w:val="15"/>
        </w:rPr>
        <w:t xml:space="preserve"> reglerin</w:t>
      </w:r>
      <w:r>
        <w:rPr>
          <w:sz w:val="15"/>
          <w:szCs w:val="15"/>
        </w:rPr>
        <w:t>g för dem som föreskrifterna vänder sig till.</w:t>
      </w:r>
    </w:p>
  </w:footnote>
  <w:footnote w:id="18">
    <w:p w14:paraId="7B6330D1" w14:textId="77777777" w:rsidR="00863A4C" w:rsidRDefault="00863A4C" w:rsidP="00863A4C">
      <w:pPr>
        <w:pStyle w:val="Fotnotstext"/>
        <w:spacing w:line="240" w:lineRule="auto"/>
      </w:pPr>
      <w:r>
        <w:rPr>
          <w:rStyle w:val="Fotnotsreferens"/>
        </w:rPr>
        <w:footnoteRef/>
      </w:r>
      <w:r>
        <w:t xml:space="preserve"> Se kommentar i föregående fotnot.</w:t>
      </w:r>
    </w:p>
  </w:footnote>
  <w:footnote w:id="19">
    <w:p w14:paraId="2754C5BA" w14:textId="77777777" w:rsidR="00863A4C" w:rsidRPr="00231043" w:rsidRDefault="00863A4C" w:rsidP="00863A4C">
      <w:pPr>
        <w:autoSpaceDE w:val="0"/>
        <w:autoSpaceDN w:val="0"/>
        <w:adjustRightInd w:val="0"/>
        <w:spacing w:line="240" w:lineRule="auto"/>
        <w:rPr>
          <w:i/>
        </w:rPr>
      </w:pPr>
      <w:r w:rsidRPr="00697C8A">
        <w:rPr>
          <w:rStyle w:val="Fotnotsreferens"/>
          <w:sz w:val="15"/>
          <w:szCs w:val="15"/>
        </w:rPr>
        <w:footnoteRef/>
      </w:r>
      <w:r w:rsidRPr="00697C8A">
        <w:rPr>
          <w:sz w:val="15"/>
          <w:szCs w:val="15"/>
        </w:rPr>
        <w:t xml:space="preserve"> Prop. 2011/12:95 </w:t>
      </w:r>
      <w:r w:rsidRPr="00697C8A">
        <w:rPr>
          <w:i/>
          <w:sz w:val="15"/>
          <w:szCs w:val="15"/>
        </w:rPr>
        <w:t>Genomförande</w:t>
      </w:r>
      <w:r w:rsidRPr="00231043">
        <w:rPr>
          <w:i/>
          <w:sz w:val="15"/>
          <w:szCs w:val="15"/>
        </w:rPr>
        <w:t xml:space="preserve"> av EU-direktivet om mänskliga organ avsedda för transplantation</w:t>
      </w:r>
      <w:r>
        <w:rPr>
          <w:sz w:val="15"/>
          <w:szCs w:val="15"/>
        </w:rPr>
        <w:t>, s. 27.</w:t>
      </w:r>
    </w:p>
  </w:footnote>
  <w:footnote w:id="20">
    <w:p w14:paraId="7A323786" w14:textId="77777777" w:rsidR="00863A4C" w:rsidRPr="00FE7C41" w:rsidRDefault="00863A4C" w:rsidP="00863A4C">
      <w:pPr>
        <w:spacing w:line="240" w:lineRule="auto"/>
        <w:rPr>
          <w:sz w:val="15"/>
          <w:szCs w:val="15"/>
        </w:rPr>
      </w:pPr>
      <w:r w:rsidRPr="00FE7C41">
        <w:rPr>
          <w:rStyle w:val="Fotnotsreferens"/>
          <w:sz w:val="15"/>
          <w:szCs w:val="15"/>
        </w:rPr>
        <w:footnoteRef/>
      </w:r>
      <w:r w:rsidRPr="00FE7C41">
        <w:rPr>
          <w:sz w:val="15"/>
          <w:szCs w:val="15"/>
        </w:rPr>
        <w:t xml:space="preserve"> </w:t>
      </w:r>
      <w:r>
        <w:rPr>
          <w:sz w:val="15"/>
          <w:szCs w:val="15"/>
        </w:rPr>
        <w:t xml:space="preserve">Prop. 1994/95:148 </w:t>
      </w:r>
      <w:r>
        <w:rPr>
          <w:i/>
          <w:sz w:val="15"/>
          <w:szCs w:val="15"/>
        </w:rPr>
        <w:t>Transplantationer och obduktioner m.m.</w:t>
      </w:r>
      <w:r>
        <w:rPr>
          <w:sz w:val="15"/>
          <w:szCs w:val="15"/>
        </w:rPr>
        <w:t xml:space="preserve">, s. 37 f. Se även </w:t>
      </w:r>
      <w:hyperlink r:id="rId2" w:history="1">
        <w:r w:rsidRPr="00FE7C41">
          <w:rPr>
            <w:sz w:val="15"/>
            <w:szCs w:val="15"/>
          </w:rPr>
          <w:t xml:space="preserve">Charlotte </w:t>
        </w:r>
        <w:proofErr w:type="spellStart"/>
        <w:r w:rsidRPr="00FE7C41">
          <w:rPr>
            <w:sz w:val="15"/>
            <w:szCs w:val="15"/>
          </w:rPr>
          <w:t>Lönnheim</w:t>
        </w:r>
        <w:proofErr w:type="spellEnd"/>
      </w:hyperlink>
      <w:r>
        <w:rPr>
          <w:sz w:val="15"/>
          <w:szCs w:val="15"/>
        </w:rPr>
        <w:t xml:space="preserve">, 6 § lagen (1995:831) om transplantation m.m., </w:t>
      </w:r>
      <w:proofErr w:type="spellStart"/>
      <w:r>
        <w:rPr>
          <w:sz w:val="15"/>
          <w:szCs w:val="15"/>
        </w:rPr>
        <w:t>Karnov</w:t>
      </w:r>
      <w:proofErr w:type="spellEnd"/>
      <w:r>
        <w:rPr>
          <w:sz w:val="15"/>
          <w:szCs w:val="15"/>
        </w:rPr>
        <w:t xml:space="preserve"> (JUNO) (besökt 2021-11-30).</w:t>
      </w:r>
    </w:p>
  </w:footnote>
  <w:footnote w:id="21">
    <w:p w14:paraId="73891067" w14:textId="77777777" w:rsidR="00863A4C" w:rsidRDefault="00863A4C" w:rsidP="00863A4C">
      <w:pPr>
        <w:pStyle w:val="Fotnotstext"/>
        <w:spacing w:line="240" w:lineRule="auto"/>
      </w:pPr>
      <w:r>
        <w:rPr>
          <w:rStyle w:val="Fotnotsreferens"/>
        </w:rPr>
        <w:footnoteRef/>
      </w:r>
      <w:r>
        <w:t xml:space="preserve"> Se p</w:t>
      </w:r>
      <w:r w:rsidRPr="0071629D">
        <w:rPr>
          <w:color w:val="auto"/>
        </w:rPr>
        <w:t xml:space="preserve">rop. 1979/80:2 </w:t>
      </w:r>
      <w:r w:rsidRPr="008E59CF">
        <w:rPr>
          <w:rFonts w:ascii="Roboto" w:hAnsi="Roboto"/>
          <w:i/>
          <w:szCs w:val="15"/>
        </w:rPr>
        <w:t>med förslag till sekretesslag m.m</w:t>
      </w:r>
      <w:r w:rsidRPr="0071629D">
        <w:rPr>
          <w:rFonts w:ascii="Roboto" w:hAnsi="Roboto"/>
          <w:szCs w:val="15"/>
        </w:rPr>
        <w:t>.,</w:t>
      </w:r>
      <w:r>
        <w:rPr>
          <w:rFonts w:ascii="Roboto" w:hAnsi="Roboto"/>
          <w:szCs w:val="15"/>
        </w:rPr>
        <w:t xml:space="preserve"> Del A</w:t>
      </w:r>
      <w:r>
        <w:t>. s. 167.</w:t>
      </w:r>
    </w:p>
  </w:footnote>
  <w:footnote w:id="22">
    <w:p w14:paraId="6C474204" w14:textId="77777777" w:rsidR="00863A4C" w:rsidRDefault="00863A4C" w:rsidP="00863A4C">
      <w:pPr>
        <w:pStyle w:val="Fotnotstext"/>
        <w:spacing w:line="240" w:lineRule="auto"/>
      </w:pPr>
      <w:r>
        <w:rPr>
          <w:rStyle w:val="Fotnotsreferens"/>
        </w:rPr>
        <w:footnoteRef/>
      </w:r>
      <w:r>
        <w:t xml:space="preserve"> Prop. 2005/06:141, s. 63 f., hänvisas till den tidigare gällande 7 kap. 1 § sekretesslagen (1982:763).</w:t>
      </w:r>
    </w:p>
  </w:footnote>
  <w:footnote w:id="23">
    <w:p w14:paraId="04BC8460" w14:textId="77777777" w:rsidR="00863A4C" w:rsidRPr="002240F5" w:rsidRDefault="00863A4C" w:rsidP="00863A4C">
      <w:pPr>
        <w:pStyle w:val="Fotnotstext"/>
        <w:spacing w:line="240" w:lineRule="auto"/>
      </w:pPr>
      <w:r>
        <w:rPr>
          <w:rStyle w:val="Fotnotsreferens"/>
        </w:rPr>
        <w:footnoteRef/>
      </w:r>
      <w:r>
        <w:t xml:space="preserve"> A.a., s. 64 och prop. 2007/08:2 </w:t>
      </w:r>
      <w:r>
        <w:rPr>
          <w:i/>
        </w:rPr>
        <w:t>Ändringar i lagen om blodsäkerhet m.m.</w:t>
      </w:r>
      <w:r>
        <w:t xml:space="preserve">, s. 33. </w:t>
      </w:r>
    </w:p>
  </w:footnote>
  <w:footnote w:id="24">
    <w:p w14:paraId="4F2F0029" w14:textId="77777777" w:rsidR="00863A4C" w:rsidRDefault="00863A4C" w:rsidP="00863A4C">
      <w:pPr>
        <w:pStyle w:val="Fotnotstext"/>
        <w:spacing w:line="240" w:lineRule="auto"/>
      </w:pPr>
      <w:r>
        <w:rPr>
          <w:rStyle w:val="Fotnotsreferens"/>
        </w:rPr>
        <w:footnoteRef/>
      </w:r>
      <w:r>
        <w:t xml:space="preserve"> Liknande ändamål finns i 4 § förordningen (2018:307) om donationsregister hos Socialstyrelsen.</w:t>
      </w:r>
    </w:p>
  </w:footnote>
  <w:footnote w:id="25">
    <w:p w14:paraId="592601F4" w14:textId="77777777" w:rsidR="00863A4C" w:rsidRDefault="00863A4C" w:rsidP="00863A4C">
      <w:pPr>
        <w:pStyle w:val="Fotnotstext"/>
        <w:spacing w:line="240" w:lineRule="auto"/>
      </w:pPr>
      <w:r>
        <w:rPr>
          <w:rStyle w:val="Fotnotsreferens"/>
        </w:rPr>
        <w:footnoteRef/>
      </w:r>
      <w:r>
        <w:t xml:space="preserve"> För privata verksamheter kan det vara lämpligt att utreda huruvida samtycke är tillräckligt eller om reglerad uppgiftsskyldighet krävs för att bryta tystnadsplikten (se 6 kap. 12 § PSL och 22 § lagen om blodsäkerhet).</w:t>
      </w:r>
    </w:p>
  </w:footnote>
  <w:footnote w:id="26">
    <w:p w14:paraId="2225DE69" w14:textId="77777777" w:rsidR="00863A4C" w:rsidRDefault="00863A4C" w:rsidP="00863A4C">
      <w:pPr>
        <w:pStyle w:val="Fotnotstext"/>
      </w:pPr>
      <w:r>
        <w:rPr>
          <w:rStyle w:val="Fotnotsreferens"/>
        </w:rPr>
        <w:footnoteRef/>
      </w:r>
      <w:r>
        <w:t xml:space="preserve"> Se t.ex. den särskilda sekretessbestämmelsen för donationsregistret i 25 kap. 16 § OSL.</w:t>
      </w:r>
    </w:p>
  </w:footnote>
  <w:footnote w:id="27">
    <w:p w14:paraId="21D223C9" w14:textId="77777777" w:rsidR="00863A4C" w:rsidRDefault="00863A4C" w:rsidP="00863A4C">
      <w:pPr>
        <w:pStyle w:val="Fotnotstext"/>
        <w:spacing w:line="240" w:lineRule="auto"/>
      </w:pPr>
      <w:r>
        <w:rPr>
          <w:rStyle w:val="Fotnotsreferens"/>
        </w:rPr>
        <w:footnoteRef/>
      </w:r>
      <w:r>
        <w:t xml:space="preserve"> Om </w:t>
      </w:r>
      <w:proofErr w:type="spellStart"/>
      <w:r>
        <w:t>ProSang</w:t>
      </w:r>
      <w:proofErr w:type="spellEnd"/>
      <w:r>
        <w:t xml:space="preserve"> behålls som dokumentationssystem behöver möjligheten att ha två nivåer i systemet utredas för att andra verksamheter inte genom åtkomsten ska kunna komma åt uppgifter som de inte har behov av.</w:t>
      </w:r>
    </w:p>
  </w:footnote>
  <w:footnote w:id="28">
    <w:p w14:paraId="15B38DFE" w14:textId="77777777" w:rsidR="00863A4C" w:rsidRPr="00726E20" w:rsidRDefault="00863A4C" w:rsidP="00863A4C">
      <w:pPr>
        <w:spacing w:line="240" w:lineRule="auto"/>
        <w:rPr>
          <w:color w:val="1F497D"/>
          <w:lang w:val="da-DK"/>
        </w:rPr>
      </w:pPr>
      <w:r w:rsidRPr="00726E20">
        <w:rPr>
          <w:rStyle w:val="Fotnotsreferens"/>
          <w:sz w:val="15"/>
          <w:szCs w:val="15"/>
        </w:rPr>
        <w:footnoteRef/>
      </w:r>
      <w:r w:rsidRPr="00726E20">
        <w:rPr>
          <w:sz w:val="15"/>
          <w:szCs w:val="15"/>
        </w:rPr>
        <w:t xml:space="preserve"> Information från </w:t>
      </w:r>
      <w:r w:rsidRPr="00726E20">
        <w:rPr>
          <w:sz w:val="15"/>
          <w:szCs w:val="15"/>
          <w:lang w:val="da-DK"/>
        </w:rPr>
        <w:t>Jørgen Georgsen, överläkare Klinisk Immunologi, Region Syddanmark och Kim Nielsen, Styrelsen for Patientsikkerhed.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CDFE" w14:textId="6E0B7C49" w:rsidR="00CF46A6" w:rsidRDefault="001E5BB7">
    <w:pPr>
      <w:pStyle w:val="Sidhuvud"/>
    </w:pPr>
    <w:r>
      <w:rPr>
        <w:noProof/>
      </w:rPr>
      <w:pict w14:anchorId="5FA59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8266" o:spid="_x0000_s6147" type="#_x0000_t136" style="position:absolute;margin-left:0;margin-top:0;width:392pt;height:112pt;rotation:315;z-index:-251655168;mso-position-horizontal:center;mso-position-horizontal-relative:margin;mso-position-vertical:center;mso-position-vertical-relative:margin" o:allowincell="f" fillcolor="silver" stroked="f">
          <v:fill opacity=".5"/>
          <v:textpath style="font-family:&quot;Times New Roman&quot;;font-size:1pt" string="Remis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403E" w14:textId="42F27363" w:rsidR="00CF46A6" w:rsidRDefault="001E5BB7">
    <w:pPr>
      <w:pStyle w:val="Sidhuvud"/>
    </w:pPr>
    <w:r>
      <w:rPr>
        <w:noProof/>
      </w:rPr>
      <w:pict w14:anchorId="45EA2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8267" o:spid="_x0000_s6148" type="#_x0000_t136" style="position:absolute;margin-left:0;margin-top:0;width:392pt;height:112pt;rotation:315;z-index:-251653120;mso-position-horizontal:center;mso-position-horizontal-relative:margin;mso-position-vertical:center;mso-position-vertical-relative:margin" o:allowincell="f" fillcolor="silver" stroked="f">
          <v:fill opacity=".5"/>
          <v:textpath style="font-family:&quot;Times New Roman&quot;;font-size:1pt" string="Remis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89C7" w14:textId="2DBA8011" w:rsidR="00863A4C" w:rsidRDefault="001E5BB7" w:rsidP="004301F2">
    <w:pPr>
      <w:pStyle w:val="Sidhuvud"/>
    </w:pPr>
    <w:r>
      <w:rPr>
        <w:noProof/>
      </w:rPr>
      <w:pict w14:anchorId="4EDA7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8265" o:spid="_x0000_s6146" type="#_x0000_t136" style="position:absolute;margin-left:0;margin-top:0;width:392pt;height:112pt;rotation:315;z-index:-251657216;mso-position-horizontal:center;mso-position-horizontal-relative:margin;mso-position-vertical:center;mso-position-vertical-relative:margin" o:allowincell="f" fillcolor="silver" stroked="f">
          <v:fill opacity=".5"/>
          <v:textpath style="font-family:&quot;Times New Roman&quot;;font-size:1pt" string="Remiss"/>
        </v:shape>
      </w:pict>
    </w:r>
  </w:p>
  <w:p w14:paraId="5CF15AA7" w14:textId="77777777" w:rsidR="00863A4C" w:rsidRDefault="00863A4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635E" w14:textId="0944BC5D" w:rsidR="00863A4C" w:rsidRDefault="001E5BB7">
    <w:pPr>
      <w:pStyle w:val="Sidhuvud"/>
    </w:pPr>
    <w:r>
      <w:rPr>
        <w:noProof/>
      </w:rPr>
      <w:pict w14:anchorId="21F63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8269" o:spid="_x0000_s6150" type="#_x0000_t136" style="position:absolute;margin-left:0;margin-top:0;width:392pt;height:112pt;rotation:315;z-index:-251649024;mso-position-horizontal:center;mso-position-horizontal-relative:margin;mso-position-vertical:center;mso-position-vertical-relative:margin" o:allowincell="f" fillcolor="silver" stroked="f">
          <v:fill opacity=".5"/>
          <v:textpath style="font-family:&quot;Times New Roman&quot;;font-size:1pt" string="Remis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F6C2" w14:textId="645452AE" w:rsidR="00863A4C" w:rsidRDefault="001E5BB7">
    <w:pPr>
      <w:pStyle w:val="Sidhuvud"/>
    </w:pPr>
    <w:r>
      <w:rPr>
        <w:noProof/>
      </w:rPr>
      <w:pict w14:anchorId="2ACBB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8270" o:spid="_x0000_s6151" type="#_x0000_t136" style="position:absolute;margin-left:0;margin-top:0;width:392pt;height:112pt;rotation:315;z-index:-251646976;mso-position-horizontal:center;mso-position-horizontal-relative:margin;mso-position-vertical:center;mso-position-vertical-relative:margin" o:allowincell="f" fillcolor="silver" stroked="f">
          <v:fill opacity=".5"/>
          <v:textpath style="font-family:&quot;Times New Roman&quot;;font-size:1pt" string="Remiss"/>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85" w:type="dxa"/>
      <w:tblInd w:w="-18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85"/>
    </w:tblGrid>
    <w:tr w:rsidR="00863A4C" w14:paraId="09215B0C" w14:textId="77777777" w:rsidTr="00DE277D">
      <w:trPr>
        <w:trHeight w:hRule="exact" w:val="187"/>
      </w:trPr>
      <w:tc>
        <w:tcPr>
          <w:tcW w:w="9085" w:type="dxa"/>
        </w:tcPr>
        <w:p w14:paraId="57523E00" w14:textId="77777777" w:rsidR="00863A4C" w:rsidRDefault="00863A4C" w:rsidP="00DE277D">
          <w:pPr>
            <w:pStyle w:val="Sidhuvud"/>
          </w:pPr>
        </w:p>
      </w:tc>
    </w:tr>
  </w:tbl>
  <w:p w14:paraId="5FAE950D" w14:textId="732D5387" w:rsidR="00863A4C" w:rsidRDefault="001E5BB7">
    <w:pPr>
      <w:pStyle w:val="Sidhuvud"/>
    </w:pPr>
    <w:r>
      <w:rPr>
        <w:noProof/>
      </w:rPr>
      <w:pict w14:anchorId="022F7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18268" o:spid="_x0000_s6149" type="#_x0000_t136" style="position:absolute;margin-left:0;margin-top:0;width:392pt;height:112pt;rotation:315;z-index:-251651072;mso-position-horizontal:center;mso-position-horizontal-relative:margin;mso-position-vertical:center;mso-position-vertical-relative:margin" o:allowincell="f" fillcolor="silver" stroked="f">
          <v:fill opacity=".5"/>
          <v:textpath style="font-family:&quot;Times New Roman&quot;;font-size:1pt" string="Remis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CA3064"/>
    <w:multiLevelType w:val="hybridMultilevel"/>
    <w:tmpl w:val="DE7CEB7E"/>
    <w:lvl w:ilvl="0" w:tplc="8872132C">
      <w:numFmt w:val="bullet"/>
      <w:lvlText w:val=""/>
      <w:lvlJc w:val="left"/>
      <w:pPr>
        <w:ind w:left="584" w:hanging="360"/>
      </w:pPr>
      <w:rPr>
        <w:rFonts w:ascii="Symbol" w:eastAsia="Times New Roman" w:hAnsi="Symbol" w:cs="Times New Roman"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7AA0BC34"/>
    <w:lvl w:ilvl="0" w:tplc="D1DEEEF4">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DB091B"/>
    <w:multiLevelType w:val="multilevel"/>
    <w:tmpl w:val="ACCC7E76"/>
    <w:lvl w:ilvl="0">
      <w:start w:val="1"/>
      <w:numFmt w:val="decimal"/>
      <w:pStyle w:val="SoSNumreradlista"/>
      <w:lvlText w:val="%1. "/>
      <w:lvlJc w:val="left"/>
      <w:pPr>
        <w:ind w:left="510" w:hanging="51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8" w15:restartNumberingAfterBreak="0">
    <w:nsid w:val="375506A0"/>
    <w:multiLevelType w:val="hybridMultilevel"/>
    <w:tmpl w:val="4AF065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3531A53"/>
    <w:multiLevelType w:val="multilevel"/>
    <w:tmpl w:val="245C2010"/>
    <w:lvl w:ilvl="0">
      <w:start w:val="1"/>
      <w:numFmt w:val="bullet"/>
      <w:pStyle w:val="So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0"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1"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7B40AA"/>
    <w:multiLevelType w:val="hybridMultilevel"/>
    <w:tmpl w:val="0AACAB74"/>
    <w:lvl w:ilvl="0" w:tplc="4E44DEA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7A4364"/>
    <w:multiLevelType w:val="hybridMultilevel"/>
    <w:tmpl w:val="1B7C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3573D0"/>
    <w:multiLevelType w:val="hybridMultilevel"/>
    <w:tmpl w:val="B906B574"/>
    <w:lvl w:ilvl="0" w:tplc="2D625F20">
      <w:numFmt w:val="bullet"/>
      <w:lvlText w:val="-"/>
      <w:lvlJc w:val="left"/>
      <w:pPr>
        <w:ind w:left="944" w:hanging="360"/>
      </w:pPr>
      <w:rPr>
        <w:rFonts w:ascii="Times New Roman" w:eastAsia="Times New Roman" w:hAnsi="Times New Roman" w:cs="Times New Roman"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7" w15:restartNumberingAfterBreak="0">
    <w:nsid w:val="6E7F4F4C"/>
    <w:multiLevelType w:val="multilevel"/>
    <w:tmpl w:val="1D3CFF3C"/>
    <w:lvl w:ilvl="0">
      <w:start w:val="1"/>
      <w:numFmt w:val="decimal"/>
      <w:lvlText w:val="%1. "/>
      <w:lvlJc w:val="left"/>
      <w:pPr>
        <w:ind w:left="510" w:hanging="510"/>
      </w:pPr>
      <w:rPr>
        <w:rFonts w:hint="default"/>
      </w:rPr>
    </w:lvl>
    <w:lvl w:ilvl="1">
      <w:start w:val="1"/>
      <w:numFmt w:val="bullet"/>
      <w:lvlText w:val="−"/>
      <w:lvlJc w:val="left"/>
      <w:pPr>
        <w:tabs>
          <w:tab w:val="num" w:pos="255"/>
        </w:tabs>
        <w:ind w:left="765" w:hanging="255"/>
      </w:pPr>
      <w:rPr>
        <w:rFonts w:ascii="Arial" w:hAnsi="Arial" w:cs="Arial" w:hint="default"/>
      </w:rPr>
    </w:lvl>
    <w:lvl w:ilvl="2">
      <w:start w:val="1"/>
      <w:numFmt w:val="bullet"/>
      <w:lvlText w:val="­"/>
      <w:lvlJc w:val="left"/>
      <w:pPr>
        <w:tabs>
          <w:tab w:val="num" w:pos="510"/>
        </w:tabs>
        <w:ind w:left="1020" w:hanging="510"/>
      </w:pPr>
      <w:rPr>
        <w:rFonts w:ascii="Times New Roman" w:hAnsi="Times New Roman" w:cs="Arial" w:hint="default"/>
        <w:b w:val="0"/>
        <w:i/>
      </w:rPr>
    </w:lvl>
    <w:lvl w:ilvl="3">
      <w:start w:val="1"/>
      <w:numFmt w:val="bullet"/>
      <w:lvlText w:val="­"/>
      <w:lvlJc w:val="left"/>
      <w:pPr>
        <w:tabs>
          <w:tab w:val="num" w:pos="765"/>
        </w:tabs>
        <w:ind w:left="1275" w:hanging="765"/>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18" w15:restartNumberingAfterBreak="0">
    <w:nsid w:val="77182D1D"/>
    <w:multiLevelType w:val="hybridMultilevel"/>
    <w:tmpl w:val="B5E461BE"/>
    <w:lvl w:ilvl="0" w:tplc="3718F442">
      <w:numFmt w:val="bullet"/>
      <w:lvlText w:val="•"/>
      <w:lvlJc w:val="left"/>
      <w:pPr>
        <w:ind w:left="720" w:hanging="360"/>
      </w:pPr>
      <w:rPr>
        <w:rFonts w:cs="Helvetica Neue Light" w:hint="default"/>
        <w:sz w:val="24"/>
      </w:rPr>
    </w:lvl>
    <w:lvl w:ilvl="1" w:tplc="5DB8B3F2">
      <w:start w:val="1"/>
      <w:numFmt w:val="bullet"/>
      <w:lvlText w:val="­"/>
      <w:lvlJc w:val="left"/>
      <w:pPr>
        <w:ind w:left="1440" w:hanging="360"/>
      </w:pPr>
      <w:rPr>
        <w:rFonts w:ascii="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0"/>
  </w:num>
  <w:num w:numId="5">
    <w:abstractNumId w:val="11"/>
  </w:num>
  <w:num w:numId="6">
    <w:abstractNumId w:val="12"/>
  </w:num>
  <w:num w:numId="7">
    <w:abstractNumId w:val="0"/>
  </w:num>
  <w:num w:numId="8">
    <w:abstractNumId w:val="6"/>
  </w:num>
  <w:num w:numId="9">
    <w:abstractNumId w:val="19"/>
  </w:num>
  <w:num w:numId="10">
    <w:abstractNumId w:val="14"/>
  </w:num>
  <w:num w:numId="11">
    <w:abstractNumId w:val="2"/>
  </w:num>
  <w:num w:numId="12">
    <w:abstractNumId w:val="17"/>
  </w:num>
  <w:num w:numId="13">
    <w:abstractNumId w:val="13"/>
  </w:num>
  <w:num w:numId="14">
    <w:abstractNumId w:val="18"/>
  </w:num>
  <w:num w:numId="15">
    <w:abstractNumId w:val="9"/>
  </w:num>
  <w:num w:numId="16">
    <w:abstractNumId w:val="7"/>
  </w:num>
  <w:num w:numId="17">
    <w:abstractNumId w:val="8"/>
  </w:num>
  <w:num w:numId="18">
    <w:abstractNumId w:val="1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consecutiveHyphenLimit w:val="3"/>
  <w:hyphenationZone w:val="709"/>
  <w:doNotHyphenateCaps/>
  <w:evenAndOddHeaders/>
  <w:displayHorizontalDrawingGridEvery w:val="0"/>
  <w:displayVerticalDrawingGridEvery w:val="0"/>
  <w:doNotUseMarginsForDrawingGridOrigin/>
  <w:noPunctuationKerning/>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372934"/>
    <w:rsid w:val="000018F3"/>
    <w:rsid w:val="000027F1"/>
    <w:rsid w:val="00011496"/>
    <w:rsid w:val="00012D91"/>
    <w:rsid w:val="000141C7"/>
    <w:rsid w:val="00014C37"/>
    <w:rsid w:val="00017209"/>
    <w:rsid w:val="00023DFA"/>
    <w:rsid w:val="000261FB"/>
    <w:rsid w:val="00030358"/>
    <w:rsid w:val="00036581"/>
    <w:rsid w:val="00036DE6"/>
    <w:rsid w:val="00040F0D"/>
    <w:rsid w:val="0004400C"/>
    <w:rsid w:val="00047338"/>
    <w:rsid w:val="00051D47"/>
    <w:rsid w:val="00060880"/>
    <w:rsid w:val="000617E2"/>
    <w:rsid w:val="0007075E"/>
    <w:rsid w:val="000838A0"/>
    <w:rsid w:val="00086521"/>
    <w:rsid w:val="00086699"/>
    <w:rsid w:val="000867AF"/>
    <w:rsid w:val="00087376"/>
    <w:rsid w:val="00090EF1"/>
    <w:rsid w:val="00094FF3"/>
    <w:rsid w:val="000C03D3"/>
    <w:rsid w:val="000C0D4F"/>
    <w:rsid w:val="000C1BCE"/>
    <w:rsid w:val="000C1FE0"/>
    <w:rsid w:val="000C2D5D"/>
    <w:rsid w:val="000D462D"/>
    <w:rsid w:val="000E02DE"/>
    <w:rsid w:val="000E08AB"/>
    <w:rsid w:val="000E2D0E"/>
    <w:rsid w:val="000F3D6B"/>
    <w:rsid w:val="000F49AA"/>
    <w:rsid w:val="000F687B"/>
    <w:rsid w:val="000F6D88"/>
    <w:rsid w:val="00102AC6"/>
    <w:rsid w:val="001030D9"/>
    <w:rsid w:val="00111649"/>
    <w:rsid w:val="00120C8F"/>
    <w:rsid w:val="00120F2E"/>
    <w:rsid w:val="00124525"/>
    <w:rsid w:val="0013739E"/>
    <w:rsid w:val="00142E26"/>
    <w:rsid w:val="001444AB"/>
    <w:rsid w:val="0015523A"/>
    <w:rsid w:val="0015532A"/>
    <w:rsid w:val="00155D51"/>
    <w:rsid w:val="001561ED"/>
    <w:rsid w:val="00166A4C"/>
    <w:rsid w:val="001710BC"/>
    <w:rsid w:val="00172C7F"/>
    <w:rsid w:val="00183700"/>
    <w:rsid w:val="00183DF4"/>
    <w:rsid w:val="00184C0A"/>
    <w:rsid w:val="00186C9B"/>
    <w:rsid w:val="00192E63"/>
    <w:rsid w:val="001A36F4"/>
    <w:rsid w:val="001A3ABA"/>
    <w:rsid w:val="001A477A"/>
    <w:rsid w:val="001B177C"/>
    <w:rsid w:val="001B4241"/>
    <w:rsid w:val="001B68EB"/>
    <w:rsid w:val="001B6BF7"/>
    <w:rsid w:val="001C5BC8"/>
    <w:rsid w:val="001C6933"/>
    <w:rsid w:val="001D3D2C"/>
    <w:rsid w:val="001E5BB7"/>
    <w:rsid w:val="001F2591"/>
    <w:rsid w:val="00200B2D"/>
    <w:rsid w:val="00204738"/>
    <w:rsid w:val="0020696A"/>
    <w:rsid w:val="00206C41"/>
    <w:rsid w:val="00211C20"/>
    <w:rsid w:val="00212220"/>
    <w:rsid w:val="0021662E"/>
    <w:rsid w:val="00222CBB"/>
    <w:rsid w:val="002241A4"/>
    <w:rsid w:val="00225E0F"/>
    <w:rsid w:val="00226ACA"/>
    <w:rsid w:val="0024022B"/>
    <w:rsid w:val="00253536"/>
    <w:rsid w:val="002553AF"/>
    <w:rsid w:val="00256D42"/>
    <w:rsid w:val="00261114"/>
    <w:rsid w:val="00264944"/>
    <w:rsid w:val="00267C2E"/>
    <w:rsid w:val="00270712"/>
    <w:rsid w:val="00270BB8"/>
    <w:rsid w:val="002716DB"/>
    <w:rsid w:val="00274315"/>
    <w:rsid w:val="002772FF"/>
    <w:rsid w:val="00284495"/>
    <w:rsid w:val="00286C3A"/>
    <w:rsid w:val="002906C5"/>
    <w:rsid w:val="00292456"/>
    <w:rsid w:val="002A0DDF"/>
    <w:rsid w:val="002A4055"/>
    <w:rsid w:val="002B4BF6"/>
    <w:rsid w:val="002B4EE5"/>
    <w:rsid w:val="002C5226"/>
    <w:rsid w:val="002D06EA"/>
    <w:rsid w:val="002D1556"/>
    <w:rsid w:val="002D63D3"/>
    <w:rsid w:val="002E4615"/>
    <w:rsid w:val="002E5FC8"/>
    <w:rsid w:val="002E79EE"/>
    <w:rsid w:val="002E7C7A"/>
    <w:rsid w:val="002F0A80"/>
    <w:rsid w:val="002F3425"/>
    <w:rsid w:val="0030178D"/>
    <w:rsid w:val="00302010"/>
    <w:rsid w:val="0030765D"/>
    <w:rsid w:val="00317B76"/>
    <w:rsid w:val="00320A8F"/>
    <w:rsid w:val="00322348"/>
    <w:rsid w:val="003230C8"/>
    <w:rsid w:val="00323BE0"/>
    <w:rsid w:val="003272DE"/>
    <w:rsid w:val="0032735C"/>
    <w:rsid w:val="00327FFC"/>
    <w:rsid w:val="00330957"/>
    <w:rsid w:val="003326CD"/>
    <w:rsid w:val="0033542D"/>
    <w:rsid w:val="00335670"/>
    <w:rsid w:val="003452AC"/>
    <w:rsid w:val="003463DA"/>
    <w:rsid w:val="003522DC"/>
    <w:rsid w:val="00363FC8"/>
    <w:rsid w:val="003650AC"/>
    <w:rsid w:val="003654A7"/>
    <w:rsid w:val="00371E1C"/>
    <w:rsid w:val="00372934"/>
    <w:rsid w:val="00373DBE"/>
    <w:rsid w:val="003802B8"/>
    <w:rsid w:val="00382481"/>
    <w:rsid w:val="00386ED3"/>
    <w:rsid w:val="003879FC"/>
    <w:rsid w:val="00387DF0"/>
    <w:rsid w:val="00395681"/>
    <w:rsid w:val="003A3D7B"/>
    <w:rsid w:val="003B0D9F"/>
    <w:rsid w:val="003B71C4"/>
    <w:rsid w:val="003C1DCA"/>
    <w:rsid w:val="003C4B24"/>
    <w:rsid w:val="003C795A"/>
    <w:rsid w:val="003C7B9A"/>
    <w:rsid w:val="003D03B2"/>
    <w:rsid w:val="003D5A75"/>
    <w:rsid w:val="003F1AE5"/>
    <w:rsid w:val="003F4C48"/>
    <w:rsid w:val="003F52A3"/>
    <w:rsid w:val="00403F57"/>
    <w:rsid w:val="00404FA4"/>
    <w:rsid w:val="00411C22"/>
    <w:rsid w:val="00411F1F"/>
    <w:rsid w:val="00412509"/>
    <w:rsid w:val="00412DA1"/>
    <w:rsid w:val="00412E17"/>
    <w:rsid w:val="00413E4F"/>
    <w:rsid w:val="0042099E"/>
    <w:rsid w:val="004221F1"/>
    <w:rsid w:val="00426B88"/>
    <w:rsid w:val="004301F2"/>
    <w:rsid w:val="0043385E"/>
    <w:rsid w:val="004340AD"/>
    <w:rsid w:val="00437D26"/>
    <w:rsid w:val="0044089A"/>
    <w:rsid w:val="00442028"/>
    <w:rsid w:val="00461C13"/>
    <w:rsid w:val="0046468A"/>
    <w:rsid w:val="0047365E"/>
    <w:rsid w:val="00475A3F"/>
    <w:rsid w:val="00476674"/>
    <w:rsid w:val="004858CB"/>
    <w:rsid w:val="00493EDE"/>
    <w:rsid w:val="004A4064"/>
    <w:rsid w:val="004A5E18"/>
    <w:rsid w:val="004B53B0"/>
    <w:rsid w:val="004C0F0F"/>
    <w:rsid w:val="004C1BE4"/>
    <w:rsid w:val="004C30A3"/>
    <w:rsid w:val="004C4329"/>
    <w:rsid w:val="004C73D5"/>
    <w:rsid w:val="004D2D2B"/>
    <w:rsid w:val="004D3C68"/>
    <w:rsid w:val="004D3D07"/>
    <w:rsid w:val="004D741C"/>
    <w:rsid w:val="004F0D96"/>
    <w:rsid w:val="004F4095"/>
    <w:rsid w:val="004F4234"/>
    <w:rsid w:val="005005B0"/>
    <w:rsid w:val="00501579"/>
    <w:rsid w:val="005057C7"/>
    <w:rsid w:val="00511D00"/>
    <w:rsid w:val="0051358A"/>
    <w:rsid w:val="005229C8"/>
    <w:rsid w:val="00541099"/>
    <w:rsid w:val="00547CF0"/>
    <w:rsid w:val="0055285D"/>
    <w:rsid w:val="0055395D"/>
    <w:rsid w:val="00561C77"/>
    <w:rsid w:val="00563AAA"/>
    <w:rsid w:val="00564568"/>
    <w:rsid w:val="00571510"/>
    <w:rsid w:val="00577749"/>
    <w:rsid w:val="00585106"/>
    <w:rsid w:val="00591765"/>
    <w:rsid w:val="005925B3"/>
    <w:rsid w:val="005927C9"/>
    <w:rsid w:val="005963ED"/>
    <w:rsid w:val="00596728"/>
    <w:rsid w:val="005A2070"/>
    <w:rsid w:val="005A4953"/>
    <w:rsid w:val="005A51C0"/>
    <w:rsid w:val="005B304E"/>
    <w:rsid w:val="005B45B4"/>
    <w:rsid w:val="005B631A"/>
    <w:rsid w:val="005C01EB"/>
    <w:rsid w:val="005C02C2"/>
    <w:rsid w:val="005C5955"/>
    <w:rsid w:val="005C5F81"/>
    <w:rsid w:val="005C62D9"/>
    <w:rsid w:val="005D1BD8"/>
    <w:rsid w:val="005D313E"/>
    <w:rsid w:val="005D5AF8"/>
    <w:rsid w:val="005D6B54"/>
    <w:rsid w:val="005D6DF8"/>
    <w:rsid w:val="005E0E25"/>
    <w:rsid w:val="005E1619"/>
    <w:rsid w:val="005E2297"/>
    <w:rsid w:val="005E6E64"/>
    <w:rsid w:val="005F1060"/>
    <w:rsid w:val="005F22A7"/>
    <w:rsid w:val="005F7CF6"/>
    <w:rsid w:val="006038AF"/>
    <w:rsid w:val="006073A5"/>
    <w:rsid w:val="0062014E"/>
    <w:rsid w:val="006209DC"/>
    <w:rsid w:val="00631058"/>
    <w:rsid w:val="006377DD"/>
    <w:rsid w:val="0065031B"/>
    <w:rsid w:val="00651AC5"/>
    <w:rsid w:val="00661877"/>
    <w:rsid w:val="00664736"/>
    <w:rsid w:val="006654DD"/>
    <w:rsid w:val="0066574D"/>
    <w:rsid w:val="00674A9D"/>
    <w:rsid w:val="00680BD3"/>
    <w:rsid w:val="006812F9"/>
    <w:rsid w:val="0068229D"/>
    <w:rsid w:val="00682475"/>
    <w:rsid w:val="006847BE"/>
    <w:rsid w:val="00685923"/>
    <w:rsid w:val="006936D4"/>
    <w:rsid w:val="006A3BA7"/>
    <w:rsid w:val="006A4E6D"/>
    <w:rsid w:val="006A5E76"/>
    <w:rsid w:val="006B0820"/>
    <w:rsid w:val="006B7482"/>
    <w:rsid w:val="006C69EB"/>
    <w:rsid w:val="006D1646"/>
    <w:rsid w:val="006D37E3"/>
    <w:rsid w:val="006D7B49"/>
    <w:rsid w:val="006E138E"/>
    <w:rsid w:val="006E31C0"/>
    <w:rsid w:val="006E36BD"/>
    <w:rsid w:val="006F6186"/>
    <w:rsid w:val="0070508E"/>
    <w:rsid w:val="007071F7"/>
    <w:rsid w:val="00717016"/>
    <w:rsid w:val="00720576"/>
    <w:rsid w:val="00725015"/>
    <w:rsid w:val="0073093E"/>
    <w:rsid w:val="00731029"/>
    <w:rsid w:val="007347CC"/>
    <w:rsid w:val="00740FA4"/>
    <w:rsid w:val="0074400B"/>
    <w:rsid w:val="00746941"/>
    <w:rsid w:val="00751FB1"/>
    <w:rsid w:val="00753F87"/>
    <w:rsid w:val="00756398"/>
    <w:rsid w:val="00765D1D"/>
    <w:rsid w:val="00766107"/>
    <w:rsid w:val="00767225"/>
    <w:rsid w:val="007676B3"/>
    <w:rsid w:val="00775505"/>
    <w:rsid w:val="007818B1"/>
    <w:rsid w:val="007933D1"/>
    <w:rsid w:val="00796249"/>
    <w:rsid w:val="007A1CB3"/>
    <w:rsid w:val="007B2F4F"/>
    <w:rsid w:val="007C3835"/>
    <w:rsid w:val="007D1526"/>
    <w:rsid w:val="007D2CF6"/>
    <w:rsid w:val="007D7477"/>
    <w:rsid w:val="007F2E6D"/>
    <w:rsid w:val="007F423A"/>
    <w:rsid w:val="007F4284"/>
    <w:rsid w:val="007F58EC"/>
    <w:rsid w:val="00802C52"/>
    <w:rsid w:val="008045D8"/>
    <w:rsid w:val="0082470E"/>
    <w:rsid w:val="0082513D"/>
    <w:rsid w:val="0083759A"/>
    <w:rsid w:val="008459E9"/>
    <w:rsid w:val="00863A4C"/>
    <w:rsid w:val="00865323"/>
    <w:rsid w:val="00874D49"/>
    <w:rsid w:val="008755BD"/>
    <w:rsid w:val="00882EB0"/>
    <w:rsid w:val="0088362A"/>
    <w:rsid w:val="008A5C94"/>
    <w:rsid w:val="008B089D"/>
    <w:rsid w:val="008B4853"/>
    <w:rsid w:val="008C0D1B"/>
    <w:rsid w:val="008C11BF"/>
    <w:rsid w:val="008C1647"/>
    <w:rsid w:val="008C3F0C"/>
    <w:rsid w:val="008D0B65"/>
    <w:rsid w:val="008D19A7"/>
    <w:rsid w:val="008D3A2F"/>
    <w:rsid w:val="008E04F0"/>
    <w:rsid w:val="008E14E2"/>
    <w:rsid w:val="008E2B2A"/>
    <w:rsid w:val="008E35BC"/>
    <w:rsid w:val="009017B9"/>
    <w:rsid w:val="00902F6B"/>
    <w:rsid w:val="009052F0"/>
    <w:rsid w:val="00915BAA"/>
    <w:rsid w:val="00925B15"/>
    <w:rsid w:val="00927A7F"/>
    <w:rsid w:val="00934925"/>
    <w:rsid w:val="00940202"/>
    <w:rsid w:val="0094071C"/>
    <w:rsid w:val="0094455D"/>
    <w:rsid w:val="0094750C"/>
    <w:rsid w:val="00947A85"/>
    <w:rsid w:val="009626ED"/>
    <w:rsid w:val="00967451"/>
    <w:rsid w:val="00980F92"/>
    <w:rsid w:val="00984E91"/>
    <w:rsid w:val="00985B4E"/>
    <w:rsid w:val="0099066D"/>
    <w:rsid w:val="00996B7C"/>
    <w:rsid w:val="009A1FE8"/>
    <w:rsid w:val="009B039A"/>
    <w:rsid w:val="009C1CA6"/>
    <w:rsid w:val="009D1329"/>
    <w:rsid w:val="009D23D1"/>
    <w:rsid w:val="009D38B5"/>
    <w:rsid w:val="009D4878"/>
    <w:rsid w:val="009E1401"/>
    <w:rsid w:val="009E2576"/>
    <w:rsid w:val="009F5A5C"/>
    <w:rsid w:val="009F702D"/>
    <w:rsid w:val="00A056B0"/>
    <w:rsid w:val="00A0661F"/>
    <w:rsid w:val="00A1014C"/>
    <w:rsid w:val="00A10D9F"/>
    <w:rsid w:val="00A1760B"/>
    <w:rsid w:val="00A23587"/>
    <w:rsid w:val="00A27A96"/>
    <w:rsid w:val="00A310CB"/>
    <w:rsid w:val="00A31F46"/>
    <w:rsid w:val="00A349C5"/>
    <w:rsid w:val="00A3578B"/>
    <w:rsid w:val="00A42BEE"/>
    <w:rsid w:val="00A4569C"/>
    <w:rsid w:val="00A4650D"/>
    <w:rsid w:val="00A50C99"/>
    <w:rsid w:val="00A50E56"/>
    <w:rsid w:val="00A51BE4"/>
    <w:rsid w:val="00A60604"/>
    <w:rsid w:val="00A60D51"/>
    <w:rsid w:val="00A61A31"/>
    <w:rsid w:val="00A844FF"/>
    <w:rsid w:val="00A914FD"/>
    <w:rsid w:val="00A92124"/>
    <w:rsid w:val="00AA0527"/>
    <w:rsid w:val="00AA0552"/>
    <w:rsid w:val="00AA167A"/>
    <w:rsid w:val="00AA3167"/>
    <w:rsid w:val="00AA4BCC"/>
    <w:rsid w:val="00AA67E1"/>
    <w:rsid w:val="00AB18DE"/>
    <w:rsid w:val="00AB3EDF"/>
    <w:rsid w:val="00AB493D"/>
    <w:rsid w:val="00AB7928"/>
    <w:rsid w:val="00AC223B"/>
    <w:rsid w:val="00AC5EE5"/>
    <w:rsid w:val="00AC6314"/>
    <w:rsid w:val="00AD22F8"/>
    <w:rsid w:val="00AD481F"/>
    <w:rsid w:val="00AD482C"/>
    <w:rsid w:val="00AD588F"/>
    <w:rsid w:val="00AE0672"/>
    <w:rsid w:val="00AE0E90"/>
    <w:rsid w:val="00AE3747"/>
    <w:rsid w:val="00AF1C43"/>
    <w:rsid w:val="00B04245"/>
    <w:rsid w:val="00B226B5"/>
    <w:rsid w:val="00B26CC6"/>
    <w:rsid w:val="00B2752B"/>
    <w:rsid w:val="00B33D51"/>
    <w:rsid w:val="00B34019"/>
    <w:rsid w:val="00B37324"/>
    <w:rsid w:val="00B402D1"/>
    <w:rsid w:val="00B43040"/>
    <w:rsid w:val="00B431D2"/>
    <w:rsid w:val="00B44B36"/>
    <w:rsid w:val="00B44EDD"/>
    <w:rsid w:val="00B47717"/>
    <w:rsid w:val="00B62E9D"/>
    <w:rsid w:val="00B62FF0"/>
    <w:rsid w:val="00B6637C"/>
    <w:rsid w:val="00B67484"/>
    <w:rsid w:val="00B7226B"/>
    <w:rsid w:val="00B7417C"/>
    <w:rsid w:val="00B8268C"/>
    <w:rsid w:val="00B83962"/>
    <w:rsid w:val="00B855A1"/>
    <w:rsid w:val="00B872A7"/>
    <w:rsid w:val="00B905AC"/>
    <w:rsid w:val="00B92A2C"/>
    <w:rsid w:val="00B946E1"/>
    <w:rsid w:val="00B965A3"/>
    <w:rsid w:val="00B9767B"/>
    <w:rsid w:val="00BA16EF"/>
    <w:rsid w:val="00BA1B61"/>
    <w:rsid w:val="00BB1196"/>
    <w:rsid w:val="00BB5478"/>
    <w:rsid w:val="00BC0A68"/>
    <w:rsid w:val="00BC0D70"/>
    <w:rsid w:val="00BC477A"/>
    <w:rsid w:val="00BD22E5"/>
    <w:rsid w:val="00BD3733"/>
    <w:rsid w:val="00BD68BF"/>
    <w:rsid w:val="00BE07AC"/>
    <w:rsid w:val="00BE1A57"/>
    <w:rsid w:val="00BF3848"/>
    <w:rsid w:val="00BF6306"/>
    <w:rsid w:val="00BF7D56"/>
    <w:rsid w:val="00C01E6B"/>
    <w:rsid w:val="00C03828"/>
    <w:rsid w:val="00C10046"/>
    <w:rsid w:val="00C11322"/>
    <w:rsid w:val="00C13DB1"/>
    <w:rsid w:val="00C151C4"/>
    <w:rsid w:val="00C172E7"/>
    <w:rsid w:val="00C26EEA"/>
    <w:rsid w:val="00C3107D"/>
    <w:rsid w:val="00C333D9"/>
    <w:rsid w:val="00C351D6"/>
    <w:rsid w:val="00C354BC"/>
    <w:rsid w:val="00C371D5"/>
    <w:rsid w:val="00C37E34"/>
    <w:rsid w:val="00C42B7E"/>
    <w:rsid w:val="00C4452B"/>
    <w:rsid w:val="00C50968"/>
    <w:rsid w:val="00C545F6"/>
    <w:rsid w:val="00C571EA"/>
    <w:rsid w:val="00C66DE6"/>
    <w:rsid w:val="00C75F6E"/>
    <w:rsid w:val="00C76C03"/>
    <w:rsid w:val="00C975D1"/>
    <w:rsid w:val="00CA1ADA"/>
    <w:rsid w:val="00CA52B0"/>
    <w:rsid w:val="00CA613C"/>
    <w:rsid w:val="00CA6F8E"/>
    <w:rsid w:val="00CA7765"/>
    <w:rsid w:val="00CB7BDE"/>
    <w:rsid w:val="00CC0ADD"/>
    <w:rsid w:val="00CC21EF"/>
    <w:rsid w:val="00CC2915"/>
    <w:rsid w:val="00CC7F1A"/>
    <w:rsid w:val="00CD5A4C"/>
    <w:rsid w:val="00CD653E"/>
    <w:rsid w:val="00CE337C"/>
    <w:rsid w:val="00CE44D1"/>
    <w:rsid w:val="00CE4C19"/>
    <w:rsid w:val="00CE6C68"/>
    <w:rsid w:val="00CF3040"/>
    <w:rsid w:val="00CF4487"/>
    <w:rsid w:val="00CF46A6"/>
    <w:rsid w:val="00CF79ED"/>
    <w:rsid w:val="00D02C04"/>
    <w:rsid w:val="00D10310"/>
    <w:rsid w:val="00D107E9"/>
    <w:rsid w:val="00D16CFF"/>
    <w:rsid w:val="00D17520"/>
    <w:rsid w:val="00D21AF4"/>
    <w:rsid w:val="00D255FF"/>
    <w:rsid w:val="00D25E58"/>
    <w:rsid w:val="00D26478"/>
    <w:rsid w:val="00D31840"/>
    <w:rsid w:val="00D340A5"/>
    <w:rsid w:val="00D365CC"/>
    <w:rsid w:val="00D41AF7"/>
    <w:rsid w:val="00D41DB2"/>
    <w:rsid w:val="00D421CB"/>
    <w:rsid w:val="00D54A38"/>
    <w:rsid w:val="00D5555F"/>
    <w:rsid w:val="00D56613"/>
    <w:rsid w:val="00D57B74"/>
    <w:rsid w:val="00D60671"/>
    <w:rsid w:val="00D67612"/>
    <w:rsid w:val="00D73A95"/>
    <w:rsid w:val="00D80882"/>
    <w:rsid w:val="00D80F86"/>
    <w:rsid w:val="00D864F0"/>
    <w:rsid w:val="00D9039C"/>
    <w:rsid w:val="00D909F3"/>
    <w:rsid w:val="00D95FBE"/>
    <w:rsid w:val="00DA318E"/>
    <w:rsid w:val="00DA4BE6"/>
    <w:rsid w:val="00DA665B"/>
    <w:rsid w:val="00DB191F"/>
    <w:rsid w:val="00DB66B8"/>
    <w:rsid w:val="00DC0784"/>
    <w:rsid w:val="00DC2538"/>
    <w:rsid w:val="00DC39F9"/>
    <w:rsid w:val="00DC4D9E"/>
    <w:rsid w:val="00DD31EA"/>
    <w:rsid w:val="00DD364F"/>
    <w:rsid w:val="00DD4579"/>
    <w:rsid w:val="00DE014F"/>
    <w:rsid w:val="00DE026C"/>
    <w:rsid w:val="00DE277D"/>
    <w:rsid w:val="00DE36C3"/>
    <w:rsid w:val="00DE4817"/>
    <w:rsid w:val="00DF09FE"/>
    <w:rsid w:val="00DF0BBB"/>
    <w:rsid w:val="00DF23D8"/>
    <w:rsid w:val="00DF460B"/>
    <w:rsid w:val="00DF5936"/>
    <w:rsid w:val="00E01984"/>
    <w:rsid w:val="00E11134"/>
    <w:rsid w:val="00E175A9"/>
    <w:rsid w:val="00E20C18"/>
    <w:rsid w:val="00E35099"/>
    <w:rsid w:val="00E361D2"/>
    <w:rsid w:val="00E37443"/>
    <w:rsid w:val="00E42015"/>
    <w:rsid w:val="00E50352"/>
    <w:rsid w:val="00E526D7"/>
    <w:rsid w:val="00E52BE7"/>
    <w:rsid w:val="00E613C9"/>
    <w:rsid w:val="00E647AA"/>
    <w:rsid w:val="00E65874"/>
    <w:rsid w:val="00E709DC"/>
    <w:rsid w:val="00E71C4D"/>
    <w:rsid w:val="00E76A09"/>
    <w:rsid w:val="00E776F6"/>
    <w:rsid w:val="00E804A0"/>
    <w:rsid w:val="00E82A6C"/>
    <w:rsid w:val="00E866B1"/>
    <w:rsid w:val="00E86ED3"/>
    <w:rsid w:val="00E92962"/>
    <w:rsid w:val="00E92ABB"/>
    <w:rsid w:val="00EA1C39"/>
    <w:rsid w:val="00EA443D"/>
    <w:rsid w:val="00EB27AB"/>
    <w:rsid w:val="00EB6280"/>
    <w:rsid w:val="00EC0E3B"/>
    <w:rsid w:val="00EC6733"/>
    <w:rsid w:val="00EC753C"/>
    <w:rsid w:val="00ED3144"/>
    <w:rsid w:val="00ED4AA8"/>
    <w:rsid w:val="00EE4E2B"/>
    <w:rsid w:val="00F01E1C"/>
    <w:rsid w:val="00F0646A"/>
    <w:rsid w:val="00F126D3"/>
    <w:rsid w:val="00F152B6"/>
    <w:rsid w:val="00F20D8E"/>
    <w:rsid w:val="00F25816"/>
    <w:rsid w:val="00F27F62"/>
    <w:rsid w:val="00F401F0"/>
    <w:rsid w:val="00F446B4"/>
    <w:rsid w:val="00F44901"/>
    <w:rsid w:val="00F4701E"/>
    <w:rsid w:val="00F47040"/>
    <w:rsid w:val="00F609C9"/>
    <w:rsid w:val="00F65C20"/>
    <w:rsid w:val="00F67AC0"/>
    <w:rsid w:val="00F67EE4"/>
    <w:rsid w:val="00F75822"/>
    <w:rsid w:val="00F83C43"/>
    <w:rsid w:val="00F929C8"/>
    <w:rsid w:val="00F9578D"/>
    <w:rsid w:val="00FB68A1"/>
    <w:rsid w:val="00FD477B"/>
    <w:rsid w:val="00FE1A3D"/>
    <w:rsid w:val="00FE5AB6"/>
    <w:rsid w:val="00FE5B61"/>
    <w:rsid w:val="00FF311C"/>
    <w:rsid w:val="00FF3EDF"/>
    <w:rsid w:val="00FF57ED"/>
    <w:rsid w:val="00FF5E9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2"/>
    <o:shapelayout v:ext="edit">
      <o:idmap v:ext="edit" data="1"/>
    </o:shapelayout>
  </w:shapeDefaults>
  <w:decimalSymbol w:val=","/>
  <w:listSeparator w:val=";"/>
  <w14:docId w14:val="4C5358D8"/>
  <w15:docId w15:val="{A6B2A502-EC5A-407D-B671-2FDA1BF1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905AC"/>
    <w:pPr>
      <w:spacing w:line="264" w:lineRule="atLeast"/>
    </w:pPr>
    <w:rPr>
      <w:sz w:val="22"/>
    </w:rPr>
  </w:style>
  <w:style w:type="paragraph" w:styleId="Rubrik1">
    <w:name w:val="heading 1"/>
    <w:basedOn w:val="Normal"/>
    <w:next w:val="Normal"/>
    <w:link w:val="Rubrik1Char"/>
    <w:uiPriority w:val="3"/>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link w:val="Rubrik2Char"/>
    <w:uiPriority w:val="9"/>
    <w:qFormat/>
    <w:rsid w:val="00563AAA"/>
    <w:pPr>
      <w:keepNext/>
      <w:suppressAutoHyphens/>
      <w:outlineLvl w:val="1"/>
    </w:pPr>
    <w:rPr>
      <w:rFonts w:asciiTheme="majorHAnsi" w:hAnsiTheme="majorHAnsi"/>
      <w:b/>
    </w:rPr>
  </w:style>
  <w:style w:type="paragraph" w:styleId="Rubrik3">
    <w:name w:val="heading 3"/>
    <w:basedOn w:val="Normal"/>
    <w:next w:val="Normal"/>
    <w:link w:val="Rubrik3Char"/>
    <w:uiPriority w:val="9"/>
    <w:qFormat/>
    <w:rsid w:val="00563AAA"/>
    <w:pPr>
      <w:keepNext/>
      <w:suppressAutoHyphens/>
      <w:outlineLvl w:val="2"/>
    </w:pPr>
    <w:rPr>
      <w:i/>
    </w:rPr>
  </w:style>
  <w:style w:type="paragraph" w:styleId="Rubrik4">
    <w:name w:val="heading 4"/>
    <w:basedOn w:val="Normal"/>
    <w:next w:val="Normal"/>
    <w:link w:val="Rubrik4Char"/>
    <w:uiPriority w:val="9"/>
    <w:qFormat/>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335670"/>
    <w:pPr>
      <w:spacing w:line="240" w:lineRule="auto"/>
    </w:pPr>
    <w:rPr>
      <w:rFonts w:asciiTheme="minorHAnsi" w:hAnsiTheme="minorHAnsi"/>
      <w:color w:val="000000" w:themeColor="text1"/>
      <w:sz w:val="14"/>
    </w:rPr>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uiPriority w:val="99"/>
    <w:semiHidden/>
    <w:rsid w:val="00C42B7E"/>
    <w:rPr>
      <w:rFonts w:asciiTheme="minorHAnsi" w:hAnsiTheme="minorHAnsi"/>
      <w:color w:val="000000" w:themeColor="text1"/>
      <w:sz w:val="14"/>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link w:val="PunktlistaChar"/>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link w:val="SoSBrdtextChar"/>
    <w:qFormat/>
    <w:rsid w:val="00EB27AB"/>
    <w:pPr>
      <w:spacing w:line="276" w:lineRule="atLeast"/>
    </w:pPr>
    <w:rPr>
      <w:color w:val="000000" w:themeColor="text1"/>
      <w:sz w:val="23"/>
    </w:rPr>
  </w:style>
  <w:style w:type="paragraph" w:customStyle="1" w:styleId="SoSRubrik1">
    <w:name w:val="SoS_Rubrik 1"/>
    <w:basedOn w:val="Rubrik1"/>
    <w:next w:val="SoSBrdtext"/>
    <w:uiPriority w:val="3"/>
    <w:qFormat/>
    <w:rsid w:val="002241A4"/>
    <w:pPr>
      <w:pageBreakBefore/>
      <w:spacing w:after="720" w:line="480" w:lineRule="atLeast"/>
    </w:pPr>
    <w:rPr>
      <w:b w:val="0"/>
      <w:color w:val="000000" w:themeColor="text1"/>
      <w:sz w:val="42"/>
    </w:rPr>
  </w:style>
  <w:style w:type="paragraph" w:customStyle="1" w:styleId="SoSRubrik2">
    <w:name w:val="SoS_Rubrik 2"/>
    <w:basedOn w:val="Rubrik2"/>
    <w:next w:val="SoSBrdtext"/>
    <w:qFormat/>
    <w:rsid w:val="00412509"/>
    <w:pPr>
      <w:spacing w:before="276" w:after="80" w:line="440" w:lineRule="atLeast"/>
    </w:pPr>
    <w:rPr>
      <w:b w:val="0"/>
      <w:color w:val="000000" w:themeColor="text1"/>
      <w:sz w:val="36"/>
    </w:rPr>
  </w:style>
  <w:style w:type="paragraph" w:customStyle="1" w:styleId="SoSRubrik3">
    <w:name w:val="SoS_Rubrik 3"/>
    <w:basedOn w:val="Rubrik3"/>
    <w:next w:val="SoSBrdtext"/>
    <w:uiPriority w:val="3"/>
    <w:qFormat/>
    <w:rsid w:val="002E4615"/>
    <w:pPr>
      <w:spacing w:before="160" w:after="40" w:line="336" w:lineRule="atLeast"/>
    </w:pPr>
    <w:rPr>
      <w:rFonts w:asciiTheme="minorHAnsi" w:hAnsiTheme="minorHAnsi"/>
      <w:i w:val="0"/>
      <w:color w:val="000000" w:themeColor="text1"/>
      <w:sz w:val="28"/>
    </w:rPr>
  </w:style>
  <w:style w:type="paragraph" w:customStyle="1" w:styleId="SoSSidfot">
    <w:name w:val="SoS_Sidfot"/>
    <w:basedOn w:val="Sidfot"/>
    <w:uiPriority w:val="14"/>
    <w:rsid w:val="00AD481F"/>
    <w:pPr>
      <w:tabs>
        <w:tab w:val="clear" w:pos="0"/>
        <w:tab w:val="clear" w:pos="2608"/>
        <w:tab w:val="clear" w:pos="5216"/>
      </w:tabs>
      <w:ind w:left="0"/>
      <w:jc w:val="right"/>
    </w:pPr>
    <w:rPr>
      <w:caps/>
      <w:color w:val="000000" w:themeColor="text1"/>
      <w:sz w:val="13"/>
    </w:rPr>
  </w:style>
  <w:style w:type="paragraph" w:customStyle="1" w:styleId="Diarienummer">
    <w:name w:val="Diarienummer"/>
    <w:basedOn w:val="Normal"/>
    <w:semiHidden/>
    <w:qFormat/>
    <w:rsid w:val="00AA3167"/>
    <w:pPr>
      <w:spacing w:line="200" w:lineRule="exact"/>
    </w:pPr>
  </w:style>
  <w:style w:type="paragraph" w:customStyle="1" w:styleId="SoSRubrik4">
    <w:name w:val="SoS_Rubrik 4"/>
    <w:basedOn w:val="SoSBrdtext"/>
    <w:next w:val="SoSBrdtext"/>
    <w:uiPriority w:val="3"/>
    <w:rsid w:val="00F401F0"/>
    <w:pPr>
      <w:keepNext/>
      <w:suppressAutoHyphens/>
      <w:spacing w:before="120"/>
    </w:pPr>
    <w:rPr>
      <w:rFonts w:asciiTheme="minorHAnsi" w:hAnsiTheme="minorHAnsi"/>
      <w:i/>
      <w:sz w:val="25"/>
    </w:rPr>
  </w:style>
  <w:style w:type="paragraph" w:customStyle="1" w:styleId="SoSBrdtextindragfrstaraden">
    <w:name w:val="SoS_Brödtext indrag första raden"/>
    <w:basedOn w:val="SoSBrdtext"/>
    <w:link w:val="SoSBrdtextindragfrstaradenChar"/>
    <w:uiPriority w:val="1"/>
    <w:qFormat/>
    <w:rsid w:val="000867AF"/>
    <w:pPr>
      <w:ind w:firstLine="224"/>
    </w:pPr>
  </w:style>
  <w:style w:type="paragraph" w:customStyle="1" w:styleId="SoSRubrik5">
    <w:name w:val="SoS_Rubrik 5"/>
    <w:basedOn w:val="SoSRubrik4"/>
    <w:next w:val="SoSBrdtext"/>
    <w:uiPriority w:val="3"/>
    <w:rsid w:val="00F401F0"/>
    <w:rPr>
      <w:i w:val="0"/>
      <w:sz w:val="22"/>
    </w:rPr>
  </w:style>
  <w:style w:type="paragraph" w:styleId="Innehllsfrteckningsrubrik">
    <w:name w:val="TOC Heading"/>
    <w:basedOn w:val="Rubrik1"/>
    <w:next w:val="Normal"/>
    <w:uiPriority w:val="39"/>
    <w:semiHidden/>
    <w:rsid w:val="00674A9D"/>
    <w:pPr>
      <w:keepLines/>
      <w:suppressAutoHyphens w:val="0"/>
      <w:spacing w:after="720" w:line="480" w:lineRule="exact"/>
      <w:outlineLvl w:val="9"/>
    </w:pPr>
    <w:rPr>
      <w:rFonts w:eastAsiaTheme="majorEastAsia" w:cstheme="majorBidi"/>
      <w:b w:val="0"/>
      <w:bCs/>
      <w:color w:val="000000" w:themeColor="text1"/>
      <w:kern w:val="0"/>
      <w:sz w:val="42"/>
      <w:szCs w:val="28"/>
    </w:rPr>
  </w:style>
  <w:style w:type="paragraph" w:styleId="Innehll1">
    <w:name w:val="toc 1"/>
    <w:basedOn w:val="Normal"/>
    <w:autoRedefine/>
    <w:uiPriority w:val="39"/>
    <w:rsid w:val="00A0661F"/>
    <w:pPr>
      <w:tabs>
        <w:tab w:val="right" w:leader="dot" w:pos="7140"/>
      </w:tabs>
      <w:spacing w:after="100" w:line="240" w:lineRule="exact"/>
    </w:pPr>
    <w:rPr>
      <w:rFonts w:asciiTheme="minorHAnsi" w:hAnsiTheme="minorHAnsi"/>
      <w:noProof/>
      <w:color w:val="000000" w:themeColor="text1"/>
      <w:sz w:val="20"/>
    </w:rPr>
  </w:style>
  <w:style w:type="paragraph" w:styleId="Innehll2">
    <w:name w:val="toc 2"/>
    <w:basedOn w:val="Innehll1"/>
    <w:next w:val="Innehll1"/>
    <w:autoRedefine/>
    <w:uiPriority w:val="39"/>
    <w:rsid w:val="00802C52"/>
    <w:pPr>
      <w:tabs>
        <w:tab w:val="clear" w:pos="7140"/>
        <w:tab w:val="right" w:leader="dot" w:pos="7143"/>
      </w:tabs>
      <w:ind w:left="221"/>
    </w:pPr>
  </w:style>
  <w:style w:type="paragraph" w:styleId="Innehll3">
    <w:name w:val="toc 3"/>
    <w:basedOn w:val="Innehll1"/>
    <w:next w:val="Innehll1"/>
    <w:autoRedefine/>
    <w:uiPriority w:val="39"/>
    <w:rsid w:val="00802C52"/>
    <w:pPr>
      <w:spacing w:line="240" w:lineRule="atLeast"/>
      <w:ind w:left="442"/>
    </w:pPr>
  </w:style>
  <w:style w:type="paragraph" w:styleId="Fotnotstext">
    <w:name w:val="footnote text"/>
    <w:basedOn w:val="Normal"/>
    <w:link w:val="FotnotstextChar"/>
    <w:uiPriority w:val="99"/>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rsid w:val="00C42B7E"/>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Textrutatext">
    <w:name w:val="SoS_Textruta text"/>
    <w:basedOn w:val="SoSBrdtext"/>
    <w:uiPriority w:val="12"/>
    <w:rsid w:val="00D909F3"/>
  </w:style>
  <w:style w:type="paragraph" w:customStyle="1" w:styleId="SoSCitat">
    <w:name w:val="SoS_Citat"/>
    <w:basedOn w:val="SoSBrdtextindragfrstaraden"/>
    <w:uiPriority w:val="14"/>
    <w:rsid w:val="00FE1A3D"/>
    <w:pPr>
      <w:ind w:left="227" w:firstLine="0"/>
    </w:pPr>
    <w:rPr>
      <w:i/>
    </w:rPr>
  </w:style>
  <w:style w:type="paragraph" w:customStyle="1" w:styleId="SoSTextrutarubrik">
    <w:name w:val="SoS_Textruta rubrik"/>
    <w:basedOn w:val="SoSTextrutatext"/>
    <w:uiPriority w:val="12"/>
    <w:rsid w:val="00940202"/>
    <w:pPr>
      <w:suppressAutoHyphens/>
      <w:spacing w:after="120"/>
    </w:pPr>
    <w:rPr>
      <w:rFonts w:asciiTheme="minorHAnsi" w:hAnsiTheme="minorHAnsi"/>
      <w:b/>
    </w:rPr>
  </w:style>
  <w:style w:type="paragraph" w:customStyle="1" w:styleId="SoSTryckortstext">
    <w:name w:val="SoS_Tryckortstext"/>
    <w:basedOn w:val="SoSBrdtext"/>
    <w:uiPriority w:val="2"/>
    <w:rsid w:val="00AC223B"/>
    <w:pPr>
      <w:tabs>
        <w:tab w:val="left" w:pos="1442"/>
      </w:tabs>
      <w:spacing w:line="192" w:lineRule="exact"/>
    </w:pPr>
    <w:rPr>
      <w:rFonts w:asciiTheme="minorHAnsi" w:hAnsiTheme="minorHAnsi"/>
      <w:sz w:val="16"/>
    </w:rPr>
  </w:style>
  <w:style w:type="paragraph" w:customStyle="1" w:styleId="SoSTitelOmslag">
    <w:name w:val="SoS_Titel Omslag"/>
    <w:rsid w:val="004301F2"/>
    <w:pPr>
      <w:suppressAutoHyphens/>
      <w:spacing w:line="600" w:lineRule="exact"/>
    </w:pPr>
    <w:rPr>
      <w:rFonts w:asciiTheme="majorHAnsi" w:hAnsiTheme="majorHAnsi"/>
      <w:color w:val="000000" w:themeColor="text1"/>
      <w:kern w:val="28"/>
      <w:sz w:val="52"/>
    </w:rPr>
  </w:style>
  <w:style w:type="paragraph" w:customStyle="1" w:styleId="SoSUndertitelOmslag">
    <w:name w:val="SoS_Undertitel Omslag"/>
    <w:uiPriority w:val="1"/>
    <w:rsid w:val="00CC21EF"/>
    <w:pPr>
      <w:suppressAutoHyphens/>
      <w:spacing w:line="360" w:lineRule="exact"/>
    </w:pPr>
    <w:rPr>
      <w:rFonts w:asciiTheme="majorHAnsi" w:hAnsiTheme="majorHAnsi"/>
      <w:kern w:val="28"/>
      <w:sz w:val="28"/>
    </w:rPr>
  </w:style>
  <w:style w:type="paragraph" w:styleId="Beskrivning">
    <w:name w:val="caption"/>
    <w:basedOn w:val="Normal"/>
    <w:next w:val="Normal"/>
    <w:uiPriority w:val="35"/>
    <w:semiHidden/>
    <w:qFormat/>
    <w:rsid w:val="00FE1A3D"/>
    <w:pPr>
      <w:spacing w:after="200" w:line="240" w:lineRule="auto"/>
    </w:pPr>
    <w:rPr>
      <w:b/>
      <w:bCs/>
      <w:color w:val="A6BCC6" w:themeColor="accent1"/>
      <w:sz w:val="18"/>
      <w:szCs w:val="18"/>
    </w:rPr>
  </w:style>
  <w:style w:type="paragraph" w:customStyle="1" w:styleId="SoSBildtext">
    <w:name w:val="SoS_Bildtext"/>
    <w:basedOn w:val="SoSBrdtextindragfrstaraden"/>
    <w:uiPriority w:val="14"/>
    <w:rsid w:val="00FE1A3D"/>
    <w:pPr>
      <w:spacing w:before="270" w:line="192" w:lineRule="atLeast"/>
      <w:ind w:firstLine="0"/>
    </w:pPr>
    <w:rPr>
      <w:sz w:val="16"/>
    </w:rPr>
  </w:style>
  <w:style w:type="character" w:styleId="Kommentarsreferens">
    <w:name w:val="annotation reference"/>
    <w:basedOn w:val="Standardstycketeckensnitt"/>
    <w:uiPriority w:val="99"/>
    <w:semiHidden/>
    <w:rsid w:val="00511D00"/>
    <w:rPr>
      <w:sz w:val="16"/>
      <w:szCs w:val="16"/>
    </w:rPr>
  </w:style>
  <w:style w:type="paragraph" w:styleId="Kommentarer">
    <w:name w:val="annotation text"/>
    <w:basedOn w:val="Normal"/>
    <w:link w:val="KommentarerChar"/>
    <w:uiPriority w:val="99"/>
    <w:rsid w:val="00511D00"/>
    <w:pPr>
      <w:spacing w:line="240" w:lineRule="auto"/>
    </w:pPr>
    <w:rPr>
      <w:sz w:val="20"/>
    </w:rPr>
  </w:style>
  <w:style w:type="character" w:customStyle="1" w:styleId="KommentarerChar">
    <w:name w:val="Kommentarer Char"/>
    <w:basedOn w:val="Standardstycketeckensnitt"/>
    <w:link w:val="Kommentarer"/>
    <w:uiPriority w:val="99"/>
    <w:rsid w:val="00511D00"/>
    <w:rPr>
      <w:color w:val="452325" w:themeColor="accent6"/>
    </w:rPr>
  </w:style>
  <w:style w:type="paragraph" w:styleId="Kommentarsmne">
    <w:name w:val="annotation subject"/>
    <w:basedOn w:val="Kommentarer"/>
    <w:next w:val="Kommentarer"/>
    <w:link w:val="KommentarsmneChar"/>
    <w:uiPriority w:val="99"/>
    <w:semiHidden/>
    <w:rsid w:val="00511D00"/>
    <w:rPr>
      <w:b/>
      <w:bCs/>
    </w:rPr>
  </w:style>
  <w:style w:type="character" w:customStyle="1" w:styleId="KommentarsmneChar">
    <w:name w:val="Kommentarsämne Char"/>
    <w:basedOn w:val="KommentarerChar"/>
    <w:link w:val="Kommentarsmne"/>
    <w:uiPriority w:val="99"/>
    <w:semiHidden/>
    <w:rsid w:val="00511D00"/>
    <w:rPr>
      <w:b/>
      <w:bCs/>
      <w:color w:val="452325" w:themeColor="accent6"/>
    </w:rPr>
  </w:style>
  <w:style w:type="paragraph" w:styleId="Revision">
    <w:name w:val="Revision"/>
    <w:hidden/>
    <w:uiPriority w:val="99"/>
    <w:semiHidden/>
    <w:rsid w:val="00564568"/>
    <w:rPr>
      <w:color w:val="452325" w:themeColor="accent6"/>
      <w:sz w:val="22"/>
    </w:rPr>
  </w:style>
  <w:style w:type="table" w:styleId="Mellanmrklista1-dekorfrg1">
    <w:name w:val="Medium List 1 Accent 1"/>
    <w:basedOn w:val="Normaltabell"/>
    <w:uiPriority w:val="65"/>
    <w:rsid w:val="00AB7928"/>
    <w:rPr>
      <w:color w:val="000000" w:themeColor="text1"/>
    </w:rPr>
    <w:tblPr>
      <w:tblStyleRowBandSize w:val="1"/>
      <w:tblStyleColBandSize w:val="1"/>
      <w:tblBorders>
        <w:top w:val="single" w:sz="8" w:space="0" w:color="A6BCC6" w:themeColor="accent1"/>
        <w:bottom w:val="single" w:sz="8" w:space="0" w:color="A6BCC6" w:themeColor="accent1"/>
      </w:tblBorders>
    </w:tblPr>
    <w:tblStylePr w:type="firstRow">
      <w:rPr>
        <w:rFonts w:asciiTheme="majorHAnsi" w:eastAsiaTheme="majorEastAsia" w:hAnsiTheme="majorHAnsi" w:cstheme="majorBidi"/>
      </w:rPr>
      <w:tblPr/>
      <w:tcPr>
        <w:tcBorders>
          <w:top w:val="nil"/>
          <w:bottom w:val="single" w:sz="8" w:space="0" w:color="A6BCC6" w:themeColor="accent1"/>
        </w:tcBorders>
      </w:tcPr>
    </w:tblStylePr>
    <w:tblStylePr w:type="lastRow">
      <w:rPr>
        <w:b/>
        <w:bCs/>
        <w:color w:val="8D6E97" w:themeColor="text2"/>
      </w:rPr>
      <w:tblPr/>
      <w:tcPr>
        <w:tcBorders>
          <w:top w:val="single" w:sz="8" w:space="0" w:color="A6BCC6" w:themeColor="accent1"/>
          <w:bottom w:val="single" w:sz="8" w:space="0" w:color="A6BCC6" w:themeColor="accent1"/>
        </w:tcBorders>
      </w:tcPr>
    </w:tblStylePr>
    <w:tblStylePr w:type="firstCol">
      <w:rPr>
        <w:b/>
        <w:bCs/>
      </w:rPr>
    </w:tblStylePr>
    <w:tblStylePr w:type="lastCol">
      <w:rPr>
        <w:b/>
        <w:bCs/>
      </w:rPr>
      <w:tblPr/>
      <w:tcPr>
        <w:tcBorders>
          <w:top w:val="single" w:sz="8" w:space="0" w:color="A6BCC6" w:themeColor="accent1"/>
          <w:bottom w:val="single" w:sz="8" w:space="0" w:color="A6BCC6" w:themeColor="accent1"/>
        </w:tcBorders>
      </w:tcPr>
    </w:tblStylePr>
    <w:tblStylePr w:type="band1Vert">
      <w:tblPr/>
      <w:tcPr>
        <w:shd w:val="clear" w:color="auto" w:fill="E8EEF0" w:themeFill="accent1" w:themeFillTint="3F"/>
      </w:tcPr>
    </w:tblStylePr>
    <w:tblStylePr w:type="band1Horz">
      <w:tblPr/>
      <w:tcPr>
        <w:shd w:val="clear" w:color="auto" w:fill="E8EEF0" w:themeFill="accent1" w:themeFillTint="3F"/>
      </w:tcPr>
    </w:tblStylePr>
  </w:style>
  <w:style w:type="table" w:styleId="Enkeltabell1">
    <w:name w:val="Table Simple 1"/>
    <w:basedOn w:val="Normaltabell"/>
    <w:rsid w:val="004221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STabellrubrik">
    <w:name w:val="SoS_Tabellrubrik"/>
    <w:uiPriority w:val="6"/>
    <w:rsid w:val="00A0661F"/>
    <w:pPr>
      <w:spacing w:before="160" w:after="80"/>
      <w:outlineLvl w:val="1"/>
    </w:pPr>
    <w:rPr>
      <w:rFonts w:asciiTheme="majorHAnsi" w:hAnsiTheme="majorHAnsi"/>
      <w:b/>
      <w:bCs/>
      <w:color w:val="000000" w:themeColor="text1"/>
      <w:lang w:val="en-US"/>
    </w:rPr>
  </w:style>
  <w:style w:type="paragraph" w:customStyle="1" w:styleId="SoSTabellunderrubrik">
    <w:name w:val="SoS_Tabellunderrubrik"/>
    <w:uiPriority w:val="7"/>
    <w:rsid w:val="00CE337C"/>
    <w:pPr>
      <w:spacing w:after="120"/>
    </w:pPr>
    <w:rPr>
      <w:rFonts w:asciiTheme="majorHAnsi" w:hAnsiTheme="majorHAnsi"/>
      <w:color w:val="000000" w:themeColor="text1"/>
      <w:sz w:val="16"/>
      <w:szCs w:val="16"/>
      <w:lang w:val="en-US"/>
    </w:rPr>
  </w:style>
  <w:style w:type="paragraph" w:customStyle="1" w:styleId="SoSTabelltext">
    <w:name w:val="SoS_Tabell text"/>
    <w:uiPriority w:val="9"/>
    <w:rsid w:val="00086521"/>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uiPriority w:val="8"/>
    <w:rsid w:val="00766107"/>
    <w:pPr>
      <w:spacing w:before="40" w:after="40"/>
    </w:pPr>
    <w:rPr>
      <w:b w:val="0"/>
      <w:sz w:val="16"/>
      <w:lang w:val="sv-SE"/>
    </w:rPr>
  </w:style>
  <w:style w:type="table" w:customStyle="1" w:styleId="SoStabell">
    <w:name w:val="SoS_tabell"/>
    <w:basedOn w:val="Normaltabell"/>
    <w:uiPriority w:val="99"/>
    <w:rsid w:val="00591765"/>
    <w:rPr>
      <w:rFonts w:ascii="Century Gothic" w:hAnsi="Century Gothic"/>
      <w:sz w:val="18"/>
    </w:rPr>
    <w:tblPr>
      <w:tblBorders>
        <w:bottom w:val="single" w:sz="12" w:space="0" w:color="857363" w:themeColor="accent5"/>
      </w:tblBorders>
    </w:tblPr>
    <w:tcPr>
      <w:shd w:val="clear" w:color="auto" w:fill="auto"/>
      <w:vAlign w:val="center"/>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klla">
    <w:name w:val="SoS_Tabell källa"/>
    <w:basedOn w:val="SoSTabellunderrubrik"/>
    <w:uiPriority w:val="10"/>
    <w:rsid w:val="0044089A"/>
    <w:pPr>
      <w:spacing w:before="60"/>
    </w:pPr>
    <w:rPr>
      <w:sz w:val="14"/>
      <w:lang w:val="sv-SE"/>
    </w:rPr>
  </w:style>
  <w:style w:type="table" w:customStyle="1" w:styleId="SoSTabellKantlinjer">
    <w:name w:val="SoS_Tabell_Kantlinjer"/>
    <w:basedOn w:val="Normaltabell"/>
    <w:uiPriority w:val="99"/>
    <w:rsid w:val="00AB18DE"/>
    <w:tblPr>
      <w:tblBorders>
        <w:bottom w:val="single" w:sz="12" w:space="0" w:color="857363" w:themeColor="accent5"/>
        <w:insideH w:val="single" w:sz="6" w:space="0" w:color="DAD7CB" w:themeColor="background1"/>
        <w:insideV w:val="single" w:sz="6" w:space="0" w:color="DAD7CB" w:themeColor="background1"/>
      </w:tblBorders>
    </w:tblPr>
    <w:tcPr>
      <w:vAlign w:val="center"/>
    </w:tcPr>
    <w:tblStylePr w:type="firstRow">
      <w:rPr>
        <w:rFonts w:asciiTheme="majorHAnsi" w:hAnsiTheme="majorHAnsi"/>
        <w:b/>
        <w:sz w:val="20"/>
      </w:rPr>
      <w:tblPr/>
      <w:tcPr>
        <w:tcBorders>
          <w:top w:val="single" w:sz="12" w:space="0" w:color="857363" w:themeColor="accent5"/>
          <w:left w:val="nil"/>
          <w:bottom w:val="single" w:sz="6" w:space="0" w:color="857363" w:themeColor="accent5"/>
          <w:right w:val="nil"/>
          <w:insideH w:val="nil"/>
          <w:insideV w:val="single" w:sz="6" w:space="0" w:color="FFFFFF"/>
          <w:tl2br w:val="nil"/>
          <w:tr2bl w:val="nil"/>
        </w:tcBorders>
        <w:shd w:val="clear" w:color="auto" w:fill="DAD7CB" w:themeFill="background1"/>
      </w:tcPr>
    </w:tblStylePr>
    <w:tblStylePr w:type="lastRow">
      <w:pPr>
        <w:jc w:val="left"/>
      </w:pPr>
      <w:tblPr/>
      <w:tcPr>
        <w:tcBorders>
          <w:bottom w:val="single" w:sz="6" w:space="0" w:color="DAD7CB" w:themeColor="background1"/>
        </w:tcBorders>
      </w:tcPr>
    </w:tblStylePr>
  </w:style>
  <w:style w:type="paragraph" w:customStyle="1" w:styleId="SoSPunktlista">
    <w:name w:val="SoS_Punktlista"/>
    <w:basedOn w:val="Normal"/>
    <w:qFormat/>
    <w:rsid w:val="00E361D2"/>
    <w:pPr>
      <w:numPr>
        <w:numId w:val="15"/>
      </w:numPr>
      <w:spacing w:before="160" w:after="160" w:line="276" w:lineRule="atLeast"/>
      <w:ind w:left="227" w:hanging="227"/>
      <w:contextualSpacing/>
    </w:pPr>
    <w:rPr>
      <w:sz w:val="23"/>
    </w:rPr>
  </w:style>
  <w:style w:type="paragraph" w:customStyle="1" w:styleId="SoSNumreradlista">
    <w:name w:val="SoS_Numrerad lista"/>
    <w:basedOn w:val="Normal"/>
    <w:link w:val="SoSNumreradlistaChar"/>
    <w:uiPriority w:val="11"/>
    <w:rsid w:val="00E361D2"/>
    <w:pPr>
      <w:numPr>
        <w:numId w:val="16"/>
      </w:numPr>
      <w:spacing w:before="160" w:after="160" w:line="276" w:lineRule="atLeast"/>
      <w:contextualSpacing/>
    </w:pPr>
    <w:rPr>
      <w:color w:val="000000" w:themeColor="text1"/>
      <w:sz w:val="23"/>
    </w:rPr>
  </w:style>
  <w:style w:type="character" w:customStyle="1" w:styleId="PunktlistaChar">
    <w:name w:val="Punktlista Char"/>
    <w:basedOn w:val="SidhuvudChar"/>
    <w:link w:val="Punktlista"/>
    <w:uiPriority w:val="99"/>
    <w:semiHidden/>
    <w:rsid w:val="0094750C"/>
    <w:rPr>
      <w:rFonts w:asciiTheme="minorHAnsi" w:hAnsiTheme="minorHAnsi"/>
      <w:color w:val="000000" w:themeColor="text1"/>
      <w:sz w:val="14"/>
    </w:rPr>
  </w:style>
  <w:style w:type="character" w:customStyle="1" w:styleId="SoSNumreradlistaChar">
    <w:name w:val="SoS_Numrerad lista Char"/>
    <w:basedOn w:val="Standardstycketeckensnitt"/>
    <w:link w:val="SoSNumreradlista"/>
    <w:uiPriority w:val="11"/>
    <w:rsid w:val="00E361D2"/>
    <w:rPr>
      <w:color w:val="000000" w:themeColor="text1"/>
      <w:sz w:val="23"/>
    </w:rPr>
  </w:style>
  <w:style w:type="paragraph" w:customStyle="1" w:styleId="SoSTextrutapunklista">
    <w:name w:val="SoS_Textruta punklista"/>
    <w:basedOn w:val="SoSPunktlista"/>
    <w:uiPriority w:val="13"/>
    <w:rsid w:val="0007075E"/>
  </w:style>
  <w:style w:type="character" w:customStyle="1" w:styleId="SoSBrdtextChar">
    <w:name w:val="SoS_Brödtext Char"/>
    <w:link w:val="SoSBrdtext"/>
    <w:locked/>
    <w:rsid w:val="00017209"/>
    <w:rPr>
      <w:color w:val="000000" w:themeColor="text1"/>
      <w:sz w:val="23"/>
    </w:rPr>
  </w:style>
  <w:style w:type="paragraph" w:customStyle="1" w:styleId="Brdtextmedindrag">
    <w:name w:val="_Brödtext med indrag"/>
    <w:qFormat/>
    <w:rsid w:val="00017209"/>
    <w:pPr>
      <w:ind w:firstLine="227"/>
    </w:pPr>
    <w:rPr>
      <w:sz w:val="24"/>
      <w:szCs w:val="24"/>
    </w:rPr>
  </w:style>
  <w:style w:type="character" w:customStyle="1" w:styleId="SoSBrdtextindragfrstaradenChar">
    <w:name w:val="SoS_Brödtext indrag första raden Char"/>
    <w:link w:val="SoSBrdtextindragfrstaraden"/>
    <w:uiPriority w:val="1"/>
    <w:qFormat/>
    <w:locked/>
    <w:rsid w:val="00017209"/>
    <w:rPr>
      <w:color w:val="000000" w:themeColor="text1"/>
      <w:sz w:val="23"/>
    </w:rPr>
  </w:style>
  <w:style w:type="paragraph" w:customStyle="1" w:styleId="Rubrik20">
    <w:name w:val="_Rubrik 2"/>
    <w:next w:val="Normal"/>
    <w:qFormat/>
    <w:rsid w:val="003D03B2"/>
    <w:pPr>
      <w:keepNext/>
      <w:suppressAutoHyphens/>
      <w:spacing w:before="240"/>
    </w:pPr>
    <w:rPr>
      <w:rFonts w:ascii="Arial" w:hAnsi="Arial"/>
      <w:sz w:val="26"/>
      <w:szCs w:val="24"/>
    </w:rPr>
  </w:style>
  <w:style w:type="character" w:customStyle="1" w:styleId="Rubrik2Char">
    <w:name w:val="Rubrik 2 Char"/>
    <w:basedOn w:val="Standardstycketeckensnitt"/>
    <w:link w:val="Rubrik2"/>
    <w:uiPriority w:val="9"/>
    <w:rsid w:val="00E92ABB"/>
    <w:rPr>
      <w:rFonts w:asciiTheme="majorHAnsi" w:hAnsiTheme="majorHAnsi"/>
      <w:b/>
      <w:sz w:val="22"/>
    </w:rPr>
  </w:style>
  <w:style w:type="character" w:customStyle="1" w:styleId="Rubrik3Char">
    <w:name w:val="Rubrik 3 Char"/>
    <w:basedOn w:val="Standardstycketeckensnitt"/>
    <w:link w:val="Rubrik3"/>
    <w:uiPriority w:val="9"/>
    <w:rsid w:val="00E92ABB"/>
    <w:rPr>
      <w:i/>
      <w:sz w:val="22"/>
    </w:rPr>
  </w:style>
  <w:style w:type="character" w:customStyle="1" w:styleId="Rubrik4Char">
    <w:name w:val="Rubrik 4 Char"/>
    <w:basedOn w:val="Standardstycketeckensnitt"/>
    <w:link w:val="Rubrik4"/>
    <w:uiPriority w:val="9"/>
    <w:rsid w:val="00E92ABB"/>
    <w:rPr>
      <w:b/>
      <w:i/>
      <w:sz w:val="22"/>
    </w:rPr>
  </w:style>
  <w:style w:type="table" w:styleId="Tabellrutntljust">
    <w:name w:val="Grid Table Light"/>
    <w:basedOn w:val="Normaltabell"/>
    <w:uiPriority w:val="40"/>
    <w:rsid w:val="00E92ABB"/>
    <w:rPr>
      <w:rFonts w:asciiTheme="minorHAnsi" w:eastAsiaTheme="minorHAnsi" w:hAnsiTheme="minorHAnsi" w:cstheme="minorBidi"/>
      <w:sz w:val="22"/>
      <w:szCs w:val="22"/>
      <w:lang w:eastAsia="en-US"/>
    </w:rPr>
    <w:tblPr>
      <w:tblBorders>
        <w:top w:val="single" w:sz="4" w:space="0" w:color="AEA78D" w:themeColor="background1" w:themeShade="BF"/>
        <w:left w:val="single" w:sz="4" w:space="0" w:color="AEA78D" w:themeColor="background1" w:themeShade="BF"/>
        <w:bottom w:val="single" w:sz="4" w:space="0" w:color="AEA78D" w:themeColor="background1" w:themeShade="BF"/>
        <w:right w:val="single" w:sz="4" w:space="0" w:color="AEA78D" w:themeColor="background1" w:themeShade="BF"/>
        <w:insideH w:val="single" w:sz="4" w:space="0" w:color="AEA78D" w:themeColor="background1" w:themeShade="BF"/>
        <w:insideV w:val="single" w:sz="4" w:space="0" w:color="AEA78D" w:themeColor="background1" w:themeShade="BF"/>
      </w:tblBorders>
    </w:tblPr>
  </w:style>
  <w:style w:type="character" w:customStyle="1" w:styleId="Rubrik1Char">
    <w:name w:val="Rubrik 1 Char"/>
    <w:basedOn w:val="Standardstycketeckensnitt"/>
    <w:link w:val="Rubrik1"/>
    <w:uiPriority w:val="3"/>
    <w:rsid w:val="00863A4C"/>
    <w:rPr>
      <w:rFonts w:asciiTheme="majorHAnsi" w:hAnsiTheme="majorHAnsi"/>
      <w:b/>
      <w:kern w:val="28"/>
      <w:sz w:val="28"/>
    </w:rPr>
  </w:style>
  <w:style w:type="paragraph" w:customStyle="1" w:styleId="Brdtext">
    <w:name w:val="_Brödtext"/>
    <w:next w:val="Normal"/>
    <w:qFormat/>
    <w:rsid w:val="00863A4C"/>
    <w:pPr>
      <w:spacing w:before="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0143">
      <w:bodyDiv w:val="1"/>
      <w:marLeft w:val="0"/>
      <w:marRight w:val="0"/>
      <w:marTop w:val="0"/>
      <w:marBottom w:val="0"/>
      <w:divBdr>
        <w:top w:val="none" w:sz="0" w:space="0" w:color="auto"/>
        <w:left w:val="none" w:sz="0" w:space="0" w:color="auto"/>
        <w:bottom w:val="none" w:sz="0" w:space="0" w:color="auto"/>
        <w:right w:val="none" w:sz="0" w:space="0" w:color="auto"/>
      </w:divBdr>
    </w:div>
    <w:div w:id="529610256">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46699239">
      <w:bodyDiv w:val="1"/>
      <w:marLeft w:val="0"/>
      <w:marRight w:val="0"/>
      <w:marTop w:val="0"/>
      <w:marBottom w:val="0"/>
      <w:divBdr>
        <w:top w:val="none" w:sz="0" w:space="0" w:color="auto"/>
        <w:left w:val="none" w:sz="0" w:space="0" w:color="auto"/>
        <w:bottom w:val="none" w:sz="0" w:space="0" w:color="auto"/>
        <w:right w:val="none" w:sz="0" w:space="0" w:color="auto"/>
      </w:divBdr>
    </w:div>
    <w:div w:id="1229076650">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821536661">
      <w:bodyDiv w:val="1"/>
      <w:marLeft w:val="0"/>
      <w:marRight w:val="0"/>
      <w:marTop w:val="0"/>
      <w:marBottom w:val="0"/>
      <w:divBdr>
        <w:top w:val="none" w:sz="0" w:space="0" w:color="auto"/>
        <w:left w:val="none" w:sz="0" w:space="0" w:color="auto"/>
        <w:bottom w:val="none" w:sz="0" w:space="0" w:color="auto"/>
        <w:right w:val="none" w:sz="0" w:space="0" w:color="auto"/>
      </w:divBdr>
    </w:div>
    <w:div w:id="1945376642">
      <w:bodyDiv w:val="1"/>
      <w:marLeft w:val="0"/>
      <w:marRight w:val="0"/>
      <w:marTop w:val="0"/>
      <w:marBottom w:val="0"/>
      <w:divBdr>
        <w:top w:val="none" w:sz="0" w:space="0" w:color="auto"/>
        <w:left w:val="none" w:sz="0" w:space="0" w:color="auto"/>
        <w:bottom w:val="none" w:sz="0" w:space="0" w:color="auto"/>
        <w:right w:val="none" w:sz="0" w:space="0" w:color="auto"/>
      </w:divBdr>
    </w:div>
    <w:div w:id="1952587954">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juno.nj.se/b/experts/CHAL" TargetMode="External"/><Relationship Id="rId1" Type="http://schemas.openxmlformats.org/officeDocument/2006/relationships/hyperlink" Target="https://www.csamhealth.com/solutions/lims/csam-prosa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oS%20Mallar\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0C53768A0340C4B55DA11173D0B709"/>
        <w:category>
          <w:name w:val="Allmänt"/>
          <w:gallery w:val="placeholder"/>
        </w:category>
        <w:types>
          <w:type w:val="bbPlcHdr"/>
        </w:types>
        <w:behaviors>
          <w:behavior w:val="content"/>
        </w:behaviors>
        <w:guid w:val="{C8BA002F-ED45-46DD-A49C-1CAA7C5426DE}"/>
      </w:docPartPr>
      <w:docPartBody>
        <w:p w:rsidR="00752935" w:rsidRDefault="00827856">
          <w:pPr>
            <w:pStyle w:val="680C53768A0340C4B55DA11173D0B709"/>
          </w:pPr>
          <w:r w:rsidRPr="000D6401">
            <w:rPr>
              <w:rStyle w:val="Platshllartext"/>
            </w:rPr>
            <w:t>[Title]</w:t>
          </w:r>
        </w:p>
      </w:docPartBody>
    </w:docPart>
    <w:docPart>
      <w:docPartPr>
        <w:name w:val="E8D5BE4D9BB741C2A8AD8C1AD5F13C5D"/>
        <w:category>
          <w:name w:val="Allmänt"/>
          <w:gallery w:val="placeholder"/>
        </w:category>
        <w:types>
          <w:type w:val="bbPlcHdr"/>
        </w:types>
        <w:behaviors>
          <w:behavior w:val="content"/>
        </w:behaviors>
        <w:guid w:val="{F3A68A6F-ED0E-4E9E-92A0-9A358A140A75}"/>
      </w:docPartPr>
      <w:docPartBody>
        <w:p w:rsidR="00752935" w:rsidRDefault="00827856">
          <w:pPr>
            <w:pStyle w:val="E8D5BE4D9BB741C2A8AD8C1AD5F13C5D"/>
          </w:pPr>
          <w:r w:rsidRPr="00D3712C">
            <w:rPr>
              <w:rStyle w:val="Platshllartext"/>
            </w:rPr>
            <w:t>Klicka eller tryck här för att ange text.</w:t>
          </w:r>
        </w:p>
      </w:docPartBody>
    </w:docPart>
    <w:docPart>
      <w:docPartPr>
        <w:name w:val="AB17A83D0F91423D89A605807C409C4F"/>
        <w:category>
          <w:name w:val="Allmänt"/>
          <w:gallery w:val="placeholder"/>
        </w:category>
        <w:types>
          <w:type w:val="bbPlcHdr"/>
        </w:types>
        <w:behaviors>
          <w:behavior w:val="content"/>
        </w:behaviors>
        <w:guid w:val="{976B5CD3-DEDE-46AD-BF72-179E600E74DE}"/>
      </w:docPartPr>
      <w:docPartBody>
        <w:p w:rsidR="00752935" w:rsidRDefault="00827856">
          <w:pPr>
            <w:pStyle w:val="AB17A83D0F91423D89A605807C409C4F"/>
          </w:pPr>
          <w:r w:rsidRPr="000D6401">
            <w:rPr>
              <w:rStyle w:val="Platshllartext"/>
            </w:rPr>
            <w:t>[Title]</w:t>
          </w:r>
        </w:p>
      </w:docPartBody>
    </w:docPart>
    <w:docPart>
      <w:docPartPr>
        <w:name w:val="A2AFDADB945644C39F61939A74346583"/>
        <w:category>
          <w:name w:val="Allmänt"/>
          <w:gallery w:val="placeholder"/>
        </w:category>
        <w:types>
          <w:type w:val="bbPlcHdr"/>
        </w:types>
        <w:behaviors>
          <w:behavior w:val="content"/>
        </w:behaviors>
        <w:guid w:val="{67A6542A-4A01-4BDD-8B10-FA521EFF076C}"/>
      </w:docPartPr>
      <w:docPartBody>
        <w:p w:rsidR="00752935" w:rsidRDefault="00827856">
          <w:pPr>
            <w:pStyle w:val="A2AFDADB945644C39F61939A74346583"/>
          </w:pPr>
          <w:r w:rsidRPr="000D6401">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OriginalGaramond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56"/>
    <w:rsid w:val="00752935"/>
    <w:rsid w:val="00827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0C53768A0340C4B55DA11173D0B709">
    <w:name w:val="680C53768A0340C4B55DA11173D0B709"/>
  </w:style>
  <w:style w:type="paragraph" w:customStyle="1" w:styleId="E8D5BE4D9BB741C2A8AD8C1AD5F13C5D">
    <w:name w:val="E8D5BE4D9BB741C2A8AD8C1AD5F13C5D"/>
  </w:style>
  <w:style w:type="paragraph" w:customStyle="1" w:styleId="AB17A83D0F91423D89A605807C409C4F">
    <w:name w:val="AB17A83D0F91423D89A605807C409C4F"/>
  </w:style>
  <w:style w:type="paragraph" w:customStyle="1" w:styleId="A2AFDADB945644C39F61939A74346583">
    <w:name w:val="A2AFDADB945644C39F61939A74346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eige Diagrambakgrund">
      <a:srgbClr val="DAD7CB"/>
    </a:custClr>
    <a:custClr name="Mörkbeige">
      <a:srgbClr val="D3BF96"/>
    </a:custClr>
    <a:custClr>
      <a:srgbClr val="AAA38E"/>
    </a:custClr>
    <a:custClr name="Brun">
      <a:srgbClr val="857363"/>
    </a:custClr>
    <a:custClr name="Mellanbrun">
      <a:srgbClr val="6D5047"/>
    </a:custClr>
    <a:custClr name="Mörkbrun">
      <a:srgbClr val="452325"/>
    </a:custClr>
    <a:custClr name="Vit">
      <a:srgbClr val="FFFFFF"/>
    </a:custClr>
    <a:custClr name="Vit">
      <a:srgbClr val="FFFFFF"/>
    </a:custClr>
    <a:custClr name="Svart">
      <a:srgbClr val="000000"/>
    </a:custClr>
    <a:custClr name="Vit">
      <a:srgbClr val="FFFFFF"/>
    </a:custClr>
    <a:custClr name="Ljusblå">
      <a:srgbClr val="E0E6E6"/>
    </a:custClr>
    <a:custClr name="Isblå">
      <a:srgbClr val="A6BCC6"/>
    </a:custClr>
    <a:custClr name="Ljus blågrå">
      <a:srgbClr val="A5ACAF"/>
    </a:custClr>
    <a:custClr name="Blågrå">
      <a:srgbClr val="7D9AAA"/>
    </a:custClr>
    <a:custClr name="Mörk blågrå">
      <a:srgbClr val="51626F"/>
    </a:custClr>
    <a:custClr name="Mörkblå">
      <a:srgbClr val="002B45"/>
    </a:custClr>
    <a:custClr name="Vit">
      <a:srgbClr val="FFFFFF"/>
    </a:custClr>
    <a:custClr name="Accentfärg orange">
      <a:srgbClr val="ED8B00"/>
    </a:custClr>
    <a:custClr name="Accentfärg turkos">
      <a:srgbClr val="3DB7E4"/>
    </a:custClr>
    <a:custClr name="Accentfärg grön">
      <a:srgbClr val="3F9C35"/>
    </a:custClr>
    <a:custClr name="Diagramfärg Riket 251/230/204">
      <a:srgbClr val="FBE6CC"/>
    </a:custClr>
    <a:custClr name="Diagramfärg Riket 246/205/153">
      <a:srgbClr val="F6CD99"/>
    </a:custClr>
    <a:custClr name="Diagramfärg Riket 242/181/102">
      <a:srgbClr val="F2B566"/>
    </a:custClr>
    <a:custClr name="Diagramfärg Riket Huvudfärg">
      <a:srgbClr val="ED8B00"/>
    </a:custClr>
    <a:custClr name="Diagramfärg Riket 175/98/10">
      <a:srgbClr val="AF620A"/>
    </a:custClr>
    <a:custClr name="Diagramfärg Riket 117/66/0">
      <a:srgbClr val="754200"/>
    </a:custClr>
    <a:custClr name="Vit">
      <a:srgbClr val="FFFFFF"/>
    </a:custClr>
    <a:custClr name="Diagramfärg Riket Huvudfärg">
      <a:srgbClr val="ED8B00"/>
    </a:custClr>
    <a:custClr name="Diagramfärg alarmerande händelse">
      <a:srgbClr val="BA0C2F"/>
    </a:custClr>
    <a:custClr name="Beige Diagrambakgrund">
      <a:srgbClr val="DAD7CB"/>
    </a:custClr>
    <a:custClr name="Diagramfärg män 218/237/203">
      <a:srgbClr val="DAEDCB"/>
    </a:custClr>
    <a:custClr name="Diagramfärg män 180/219/151">
      <a:srgbClr val="B4DB97"/>
    </a:custClr>
    <a:custClr name="Diagramfärg män 142/201/99">
      <a:srgbClr val="8EC963"/>
    </a:custClr>
    <a:custClr name="Diagramfärg män Huvudfärg">
      <a:srgbClr val="4A7729"/>
    </a:custClr>
    <a:custClr name="Diagramfärg män 55/88/31">
      <a:srgbClr val="3B581F"/>
    </a:custClr>
    <a:custClr name="Diagramfärg män 36/58/20">
      <a:srgbClr val="243A14"/>
    </a:custClr>
    <a:custClr name="Vit">
      <a:srgbClr val="FFFFFF"/>
    </a:custClr>
    <a:custClr name="Diagramfärg män Huvudfärg">
      <a:srgbClr val="4A7729"/>
    </a:custClr>
    <a:custClr name="Vit">
      <a:srgbClr val="FFFFFF"/>
    </a:custClr>
    <a:custClr name="Vit">
      <a:srgbClr val="FFFFFF"/>
    </a:custClr>
    <a:custClr name="Diagramfärg kvinnor 232/225/234">
      <a:srgbClr val="E8E1EA"/>
    </a:custClr>
    <a:custClr name="Diagramfärg kvinnor 209/197/214">
      <a:srgbClr val="D1C5D6"/>
    </a:custClr>
    <a:custClr name="Diagramfärg kvinnor 186/167/192">
      <a:srgbClr val="BAA7C0"/>
    </a:custClr>
    <a:custClr name="Diagramfärg kvinnor Huvudfärg">
      <a:srgbClr val="8D6E97"/>
    </a:custClr>
    <a:custClr name="Diagramfärg kvinnor 106/82/114">
      <a:srgbClr val="6A5272"/>
    </a:custClr>
    <a:custClr name="Diagramfärg kvinnor 70/54/75">
      <a:srgbClr val="46364B"/>
    </a:custClr>
    <a:custClr name="Vit">
      <a:srgbClr val="FFFFFF"/>
    </a:custClr>
    <a:custClr name="Diagramfärg kvinnor huvudfärg">
      <a:srgbClr val="8D6E97"/>
    </a:custClr>
    <a:custClr name="Vit">
      <a:srgbClr val="FFFFFF"/>
    </a:custClr>
    <a:custClr name="Vit">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739DC6F4-ADF2-446B-8F1E-168EE151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30</Pages>
  <Words>8654</Words>
  <Characters>55590</Characters>
  <Application>Microsoft Office Word</Application>
  <DocSecurity>0</DocSecurity>
  <Lines>463</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Nationellt register över blodgivare och plan för ökad kapacitet</vt:lpstr>
      <vt:lpstr>XX</vt:lpstr>
    </vt:vector>
  </TitlesOfParts>
  <Company>Socialstyrelsen</Company>
  <LinksUpToDate>false</LinksUpToDate>
  <CharactersWithSpaces>64116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Nationellt register över blodgivare och plan för ökad kapacitet</dc:title>
  <dc:creator>Carlund, Maria</dc:creator>
  <cp:lastModifiedBy>Savolainen, Linda</cp:lastModifiedBy>
  <cp:revision>3</cp:revision>
  <cp:lastPrinted>2013-11-04T07:37:00Z</cp:lastPrinted>
  <dcterms:created xsi:type="dcterms:W3CDTF">2022-01-13T15:27:00Z</dcterms:created>
  <dcterms:modified xsi:type="dcterms:W3CDTF">2022-01-13T15:27:00Z</dcterms:modified>
</cp:coreProperties>
</file>