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F55A" w14:textId="77777777" w:rsidR="007811CC" w:rsidRDefault="007811CC" w:rsidP="007811CC">
      <w:pPr>
        <w:jc w:val="left"/>
      </w:pPr>
    </w:p>
    <w:p w14:paraId="7B9754C2" w14:textId="317AA5A1" w:rsidR="007811CC" w:rsidRPr="00FD7BF3" w:rsidRDefault="00300970" w:rsidP="00FD7BF3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04639">
        <w:rPr>
          <w:rFonts w:ascii="Arial" w:hAnsi="Arial" w:cs="Arial"/>
          <w:b/>
          <w:sz w:val="28"/>
          <w:szCs w:val="28"/>
          <w:lang w:val="en-US"/>
        </w:rPr>
        <w:t>P</w:t>
      </w:r>
      <w:r w:rsidR="00E46857" w:rsidRPr="00C04639">
        <w:rPr>
          <w:rFonts w:ascii="Arial" w:hAnsi="Arial" w:cs="Arial"/>
          <w:b/>
          <w:sz w:val="28"/>
          <w:szCs w:val="28"/>
          <w:lang w:val="en-US"/>
        </w:rPr>
        <w:t xml:space="preserve">erformance </w:t>
      </w:r>
      <w:r w:rsidR="007811CC" w:rsidRPr="00C04639">
        <w:rPr>
          <w:rFonts w:ascii="Arial" w:hAnsi="Arial" w:cs="Arial"/>
          <w:b/>
          <w:sz w:val="28"/>
          <w:szCs w:val="28"/>
          <w:lang w:val="en-US"/>
        </w:rPr>
        <w:t xml:space="preserve">of </w:t>
      </w:r>
      <w:r w:rsidR="00A27BFD" w:rsidRPr="00C04639">
        <w:rPr>
          <w:rFonts w:ascii="Arial" w:hAnsi="Arial" w:cs="Arial"/>
          <w:b/>
          <w:sz w:val="28"/>
          <w:szCs w:val="28"/>
          <w:lang w:val="en-US"/>
        </w:rPr>
        <w:t>the EUCAST disc diffusion test</w:t>
      </w:r>
      <w:r w:rsidR="007811CC" w:rsidRPr="00C0463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A27BFD" w:rsidRPr="00C04639">
        <w:rPr>
          <w:rFonts w:ascii="Arial" w:hAnsi="Arial" w:cs="Arial"/>
          <w:b/>
          <w:sz w:val="28"/>
          <w:szCs w:val="28"/>
          <w:lang w:val="en-US"/>
        </w:rPr>
        <w:t xml:space="preserve">and supplementary methods </w:t>
      </w:r>
      <w:r w:rsidR="00B22261" w:rsidRPr="00C04639">
        <w:rPr>
          <w:rFonts w:ascii="Arial" w:hAnsi="Arial" w:cs="Arial"/>
          <w:b/>
          <w:sz w:val="28"/>
          <w:szCs w:val="28"/>
          <w:lang w:val="en-US"/>
        </w:rPr>
        <w:t xml:space="preserve">to detect </w:t>
      </w:r>
      <w:r w:rsidRPr="00C04639">
        <w:rPr>
          <w:rFonts w:ascii="Arial" w:hAnsi="Arial" w:cs="Arial"/>
          <w:b/>
          <w:sz w:val="28"/>
          <w:szCs w:val="28"/>
          <w:lang w:val="en-US"/>
        </w:rPr>
        <w:t>enterococci with reduced susceptibility to linezolid or tigecycline</w:t>
      </w:r>
      <w:r w:rsidR="00FD7BF3" w:rsidRPr="00C04639">
        <w:rPr>
          <w:rFonts w:ascii="Arial" w:hAnsi="Arial" w:cs="Arial"/>
          <w:b/>
          <w:sz w:val="28"/>
          <w:szCs w:val="28"/>
          <w:lang w:val="en-US"/>
        </w:rPr>
        <w:t xml:space="preserve"> - </w:t>
      </w:r>
      <w:bookmarkStart w:id="0" w:name="_Hlk125466100"/>
      <w:r w:rsidR="00B22261" w:rsidRPr="00C04639">
        <w:rPr>
          <w:rFonts w:ascii="Arial" w:hAnsi="Arial" w:cs="Arial"/>
          <w:b/>
          <w:sz w:val="28"/>
          <w:szCs w:val="28"/>
          <w:lang w:val="en-US"/>
        </w:rPr>
        <w:t xml:space="preserve">The </w:t>
      </w:r>
      <w:proofErr w:type="spellStart"/>
      <w:r w:rsidR="00B22261" w:rsidRPr="00C04639">
        <w:rPr>
          <w:rFonts w:ascii="Arial" w:hAnsi="Arial" w:cs="Arial"/>
          <w:b/>
          <w:sz w:val="28"/>
          <w:szCs w:val="28"/>
          <w:lang w:val="en-US"/>
        </w:rPr>
        <w:t>NordicAST</w:t>
      </w:r>
      <w:proofErr w:type="spellEnd"/>
      <w:r w:rsidR="00B22261" w:rsidRPr="00C0463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25366">
        <w:rPr>
          <w:rFonts w:ascii="Arial" w:hAnsi="Arial" w:cs="Arial"/>
          <w:b/>
          <w:sz w:val="28"/>
          <w:szCs w:val="28"/>
          <w:lang w:val="en-US"/>
        </w:rPr>
        <w:t xml:space="preserve">2023 </w:t>
      </w:r>
      <w:r w:rsidRPr="00C04639">
        <w:rPr>
          <w:rFonts w:ascii="Arial" w:hAnsi="Arial" w:cs="Arial"/>
          <w:b/>
          <w:sz w:val="28"/>
          <w:szCs w:val="28"/>
          <w:lang w:val="en-US"/>
        </w:rPr>
        <w:t>LRE</w:t>
      </w:r>
      <w:r w:rsidR="00B22261" w:rsidRPr="00C04639">
        <w:rPr>
          <w:rFonts w:ascii="Arial" w:hAnsi="Arial" w:cs="Arial"/>
          <w:b/>
          <w:sz w:val="28"/>
          <w:szCs w:val="28"/>
          <w:lang w:val="en-US"/>
        </w:rPr>
        <w:t>-</w:t>
      </w:r>
      <w:r w:rsidRPr="00C04639">
        <w:rPr>
          <w:rFonts w:ascii="Arial" w:hAnsi="Arial" w:cs="Arial"/>
          <w:b/>
          <w:sz w:val="28"/>
          <w:szCs w:val="28"/>
          <w:lang w:val="en-US"/>
        </w:rPr>
        <w:t xml:space="preserve">TRE </w:t>
      </w:r>
      <w:r w:rsidR="00B22261" w:rsidRPr="00C04639">
        <w:rPr>
          <w:rFonts w:ascii="Arial" w:hAnsi="Arial" w:cs="Arial"/>
          <w:b/>
          <w:sz w:val="28"/>
          <w:szCs w:val="28"/>
          <w:lang w:val="en-US"/>
        </w:rPr>
        <w:t>study</w:t>
      </w:r>
      <w:r w:rsidR="00B22261" w:rsidRPr="00FD7BF3">
        <w:rPr>
          <w:rFonts w:ascii="Arial" w:hAnsi="Arial" w:cs="Arial"/>
          <w:b/>
          <w:sz w:val="28"/>
          <w:szCs w:val="28"/>
          <w:lang w:val="en-US"/>
        </w:rPr>
        <w:t xml:space="preserve"> </w:t>
      </w:r>
      <w:bookmarkEnd w:id="0"/>
    </w:p>
    <w:p w14:paraId="779B9939" w14:textId="77777777" w:rsidR="007811CC" w:rsidRDefault="007811CC" w:rsidP="007811CC">
      <w:pPr>
        <w:rPr>
          <w:lang w:val="en-US"/>
        </w:rPr>
      </w:pPr>
    </w:p>
    <w:p w14:paraId="27521E90" w14:textId="77777777" w:rsidR="007811CC" w:rsidRPr="00FD7BF3" w:rsidRDefault="007811CC" w:rsidP="007811CC">
      <w:pPr>
        <w:rPr>
          <w:sz w:val="24"/>
          <w:szCs w:val="24"/>
          <w:lang w:val="en-US"/>
        </w:rPr>
      </w:pPr>
    </w:p>
    <w:p w14:paraId="146B41B9" w14:textId="77777777" w:rsidR="007811CC" w:rsidRPr="00285EE1" w:rsidRDefault="007811CC" w:rsidP="006C1BDC">
      <w:pPr>
        <w:spacing w:after="120"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285EE1">
        <w:rPr>
          <w:rFonts w:ascii="Arial" w:hAnsi="Arial" w:cs="Arial"/>
          <w:b/>
          <w:sz w:val="24"/>
          <w:szCs w:val="24"/>
          <w:lang w:val="en-US"/>
        </w:rPr>
        <w:t>Background</w:t>
      </w:r>
    </w:p>
    <w:p w14:paraId="31C58639" w14:textId="319EFC37" w:rsidR="00E1657B" w:rsidRDefault="00D27531" w:rsidP="00C514F1">
      <w:pPr>
        <w:spacing w:line="276" w:lineRule="auto"/>
        <w:jc w:val="both"/>
        <w:rPr>
          <w:lang w:val="en-US"/>
        </w:rPr>
      </w:pPr>
      <w:r>
        <w:rPr>
          <w:lang w:val="en-US"/>
        </w:rPr>
        <w:t>Linezolid</w:t>
      </w:r>
      <w:r w:rsidR="00E7318A">
        <w:rPr>
          <w:lang w:val="en-US"/>
        </w:rPr>
        <w:t>, the lead oxa</w:t>
      </w:r>
      <w:r w:rsidR="005B3FC3">
        <w:rPr>
          <w:lang w:val="en-US"/>
        </w:rPr>
        <w:t>zolidinone,</w:t>
      </w:r>
      <w:r>
        <w:rPr>
          <w:lang w:val="en-US"/>
        </w:rPr>
        <w:t xml:space="preserve"> and tigecycline are </w:t>
      </w:r>
      <w:r w:rsidR="00BC0BF9">
        <w:rPr>
          <w:lang w:val="en-US"/>
        </w:rPr>
        <w:t>therapeutic alternative</w:t>
      </w:r>
      <w:r w:rsidR="00016F5F">
        <w:rPr>
          <w:lang w:val="en-US"/>
        </w:rPr>
        <w:t>s in the treatment of multidrug resistant enterococci and vancomycin resistant enterococci (VRE</w:t>
      </w:r>
      <w:r w:rsidR="00C80CB4">
        <w:rPr>
          <w:lang w:val="en-US"/>
        </w:rPr>
        <w:t>) in particular (1</w:t>
      </w:r>
      <w:r w:rsidR="009C6472">
        <w:rPr>
          <w:lang w:val="en-US"/>
        </w:rPr>
        <w:t>, 2</w:t>
      </w:r>
      <w:r w:rsidR="00C80CB4">
        <w:rPr>
          <w:lang w:val="en-US"/>
        </w:rPr>
        <w:t xml:space="preserve">). </w:t>
      </w:r>
      <w:r w:rsidR="00340103">
        <w:rPr>
          <w:lang w:val="en-US"/>
        </w:rPr>
        <w:t xml:space="preserve">Although </w:t>
      </w:r>
      <w:r w:rsidR="000A5DD8">
        <w:rPr>
          <w:lang w:val="en-US"/>
        </w:rPr>
        <w:t xml:space="preserve">the prevalence </w:t>
      </w:r>
      <w:r w:rsidR="0042797C">
        <w:rPr>
          <w:lang w:val="en-US"/>
        </w:rPr>
        <w:t>of linezolid (LRE) or tigecycline</w:t>
      </w:r>
      <w:r w:rsidR="00813839">
        <w:rPr>
          <w:lang w:val="en-US"/>
        </w:rPr>
        <w:t xml:space="preserve"> (TRE) </w:t>
      </w:r>
      <w:r w:rsidR="0042797C">
        <w:rPr>
          <w:lang w:val="en-US"/>
        </w:rPr>
        <w:t>resistant enterococci</w:t>
      </w:r>
      <w:r w:rsidR="00813839">
        <w:rPr>
          <w:lang w:val="en-US"/>
        </w:rPr>
        <w:t xml:space="preserve"> is still low it is increasing (3)</w:t>
      </w:r>
      <w:r w:rsidR="00E1657B">
        <w:rPr>
          <w:lang w:val="en-US"/>
        </w:rPr>
        <w:t xml:space="preserve">. </w:t>
      </w:r>
    </w:p>
    <w:p w14:paraId="3B3E8C84" w14:textId="69A1892E" w:rsidR="00FF54BE" w:rsidRDefault="00FF54BE" w:rsidP="00C514F1">
      <w:pPr>
        <w:spacing w:line="276" w:lineRule="auto"/>
        <w:jc w:val="both"/>
        <w:rPr>
          <w:lang w:val="en-US"/>
        </w:rPr>
      </w:pPr>
    </w:p>
    <w:p w14:paraId="751892C2" w14:textId="49FD6560" w:rsidR="00FF54BE" w:rsidRDefault="00476C47" w:rsidP="00886956">
      <w:pPr>
        <w:spacing w:line="276" w:lineRule="auto"/>
        <w:jc w:val="both"/>
        <w:rPr>
          <w:lang w:val="en-US"/>
        </w:rPr>
      </w:pPr>
      <w:r w:rsidRPr="00F355D9">
        <w:rPr>
          <w:b/>
          <w:lang w:val="en-US"/>
        </w:rPr>
        <w:t>Tigecycline</w:t>
      </w:r>
      <w:r w:rsidR="00374467">
        <w:rPr>
          <w:lang w:val="en-US"/>
        </w:rPr>
        <w:t>.</w:t>
      </w:r>
      <w:r>
        <w:rPr>
          <w:lang w:val="en-US"/>
        </w:rPr>
        <w:t xml:space="preserve"> </w:t>
      </w:r>
      <w:r w:rsidR="00374467">
        <w:rPr>
          <w:lang w:val="en-US"/>
        </w:rPr>
        <w:t>R</w:t>
      </w:r>
      <w:r w:rsidRPr="00476C47">
        <w:rPr>
          <w:lang w:val="en-US"/>
        </w:rPr>
        <w:t>esistance is associated with mutations</w:t>
      </w:r>
      <w:r>
        <w:rPr>
          <w:lang w:val="en-US"/>
        </w:rPr>
        <w:t xml:space="preserve"> </w:t>
      </w:r>
      <w:r w:rsidRPr="00476C47">
        <w:rPr>
          <w:lang w:val="en-US"/>
        </w:rPr>
        <w:t xml:space="preserve">in </w:t>
      </w:r>
      <w:r w:rsidR="008C4CEA">
        <w:rPr>
          <w:lang w:val="en-US"/>
        </w:rPr>
        <w:t>genes regulating expression of ribosomal protection proteins (</w:t>
      </w:r>
      <w:proofErr w:type="spellStart"/>
      <w:r w:rsidR="008C4CEA" w:rsidRPr="000C0F29">
        <w:rPr>
          <w:i/>
          <w:iCs/>
          <w:lang w:val="en-US"/>
        </w:rPr>
        <w:t>tetM</w:t>
      </w:r>
      <w:proofErr w:type="spellEnd"/>
      <w:r w:rsidR="008C4CEA">
        <w:rPr>
          <w:lang w:val="en-US"/>
        </w:rPr>
        <w:t xml:space="preserve">) or </w:t>
      </w:r>
      <w:r w:rsidRPr="00476C47">
        <w:rPr>
          <w:lang w:val="en-US"/>
        </w:rPr>
        <w:t>efflux pumps</w:t>
      </w:r>
      <w:r>
        <w:rPr>
          <w:lang w:val="en-US"/>
        </w:rPr>
        <w:t xml:space="preserve"> </w:t>
      </w:r>
      <w:r w:rsidR="008C4CEA">
        <w:rPr>
          <w:lang w:val="en-US"/>
        </w:rPr>
        <w:t>(</w:t>
      </w:r>
      <w:proofErr w:type="spellStart"/>
      <w:r w:rsidR="008C4CEA" w:rsidRPr="000C0F29">
        <w:rPr>
          <w:i/>
          <w:iCs/>
          <w:lang w:val="en-US"/>
        </w:rPr>
        <w:t>tetL</w:t>
      </w:r>
      <w:proofErr w:type="spellEnd"/>
      <w:r w:rsidR="008C4CEA">
        <w:rPr>
          <w:lang w:val="en-US"/>
        </w:rPr>
        <w:t xml:space="preserve">) or genes encoding </w:t>
      </w:r>
      <w:r>
        <w:rPr>
          <w:lang w:val="en-US"/>
        </w:rPr>
        <w:t xml:space="preserve">ribosomal proteins </w:t>
      </w:r>
      <w:r w:rsidR="00886956">
        <w:rPr>
          <w:lang w:val="en-US"/>
        </w:rPr>
        <w:t>(</w:t>
      </w:r>
      <w:r w:rsidR="008C4CEA">
        <w:rPr>
          <w:lang w:val="en-US"/>
        </w:rPr>
        <w:t xml:space="preserve">particularly </w:t>
      </w:r>
      <w:proofErr w:type="spellStart"/>
      <w:r w:rsidRPr="00886956">
        <w:rPr>
          <w:i/>
          <w:iCs/>
          <w:lang w:val="en-US"/>
        </w:rPr>
        <w:t>rpsJ</w:t>
      </w:r>
      <w:proofErr w:type="spellEnd"/>
      <w:r w:rsidRPr="00476C47">
        <w:rPr>
          <w:lang w:val="en-US"/>
        </w:rPr>
        <w:t>, encoding ribosomal protein S10</w:t>
      </w:r>
      <w:r w:rsidR="00886956">
        <w:rPr>
          <w:lang w:val="en-US"/>
        </w:rPr>
        <w:t>)</w:t>
      </w:r>
      <w:r w:rsidR="00B64F45">
        <w:rPr>
          <w:lang w:val="en-US"/>
        </w:rPr>
        <w:t xml:space="preserve"> causing </w:t>
      </w:r>
      <w:r w:rsidR="00BA0DD9">
        <w:rPr>
          <w:lang w:val="en-US"/>
        </w:rPr>
        <w:t>one</w:t>
      </w:r>
      <w:r w:rsidR="00B64F45">
        <w:rPr>
          <w:lang w:val="en-US"/>
        </w:rPr>
        <w:t xml:space="preserve"> to four-folds increases in </w:t>
      </w:r>
      <w:r w:rsidR="00BA0DD9">
        <w:rPr>
          <w:lang w:val="en-US"/>
        </w:rPr>
        <w:t xml:space="preserve">MIC above the current </w:t>
      </w:r>
      <w:r w:rsidR="00D317D8">
        <w:rPr>
          <w:lang w:val="en-US"/>
        </w:rPr>
        <w:t>clinical breakpoint for susceptibility (</w:t>
      </w:r>
      <w:r w:rsidR="008C4CEA">
        <w:rPr>
          <w:lang w:val="en-US"/>
        </w:rPr>
        <w:t>4</w:t>
      </w:r>
      <w:r w:rsidR="00903EED">
        <w:rPr>
          <w:lang w:val="en-US"/>
        </w:rPr>
        <w:t>-</w:t>
      </w:r>
      <w:r w:rsidR="000C0F29">
        <w:rPr>
          <w:lang w:val="en-US"/>
        </w:rPr>
        <w:t>8</w:t>
      </w:r>
      <w:r w:rsidR="00D317D8">
        <w:rPr>
          <w:lang w:val="en-US"/>
        </w:rPr>
        <w:t>)</w:t>
      </w:r>
    </w:p>
    <w:p w14:paraId="4ACBE5C6" w14:textId="37877799" w:rsidR="007A52FE" w:rsidRDefault="007A52FE" w:rsidP="00C514F1">
      <w:pPr>
        <w:spacing w:line="276" w:lineRule="auto"/>
        <w:jc w:val="both"/>
        <w:rPr>
          <w:lang w:val="en-US"/>
        </w:rPr>
      </w:pPr>
    </w:p>
    <w:p w14:paraId="6303F5E8" w14:textId="28124680" w:rsidR="00E7318A" w:rsidRDefault="00374467" w:rsidP="000C0F29">
      <w:pPr>
        <w:spacing w:line="276" w:lineRule="auto"/>
        <w:jc w:val="both"/>
        <w:rPr>
          <w:lang w:val="en-US"/>
        </w:rPr>
      </w:pPr>
      <w:r w:rsidRPr="00F355D9">
        <w:rPr>
          <w:b/>
          <w:lang w:val="en-US"/>
        </w:rPr>
        <w:t>Linezolid.</w:t>
      </w:r>
      <w:r>
        <w:rPr>
          <w:lang w:val="en-US"/>
        </w:rPr>
        <w:t xml:space="preserve"> </w:t>
      </w:r>
      <w:r w:rsidR="00E7318A" w:rsidRPr="00E7318A">
        <w:rPr>
          <w:lang w:val="en-US"/>
        </w:rPr>
        <w:t xml:space="preserve">Several </w:t>
      </w:r>
      <w:r w:rsidR="001D7E75">
        <w:rPr>
          <w:lang w:val="en-US"/>
        </w:rPr>
        <w:t xml:space="preserve">resistance </w:t>
      </w:r>
      <w:r w:rsidR="00E7318A" w:rsidRPr="00E7318A">
        <w:rPr>
          <w:lang w:val="en-US"/>
        </w:rPr>
        <w:t xml:space="preserve">mechanisms </w:t>
      </w:r>
      <w:r w:rsidR="001D7E75">
        <w:rPr>
          <w:lang w:val="en-US"/>
        </w:rPr>
        <w:t xml:space="preserve">may </w:t>
      </w:r>
      <w:r w:rsidR="00E7318A" w:rsidRPr="00E7318A">
        <w:rPr>
          <w:lang w:val="en-US"/>
        </w:rPr>
        <w:t>affect</w:t>
      </w:r>
      <w:r w:rsidR="00E7318A">
        <w:rPr>
          <w:lang w:val="en-US"/>
        </w:rPr>
        <w:t xml:space="preserve"> </w:t>
      </w:r>
      <w:r w:rsidR="00E7318A" w:rsidRPr="00E7318A">
        <w:rPr>
          <w:lang w:val="en-US"/>
        </w:rPr>
        <w:t>oxazolidinone</w:t>
      </w:r>
      <w:r w:rsidR="00413DF9">
        <w:rPr>
          <w:lang w:val="en-US"/>
        </w:rPr>
        <w:t xml:space="preserve"> susceptibility in enterococci.</w:t>
      </w:r>
      <w:r w:rsidR="00E7318A" w:rsidRPr="00E7318A">
        <w:rPr>
          <w:lang w:val="en-US"/>
        </w:rPr>
        <w:t xml:space="preserve"> </w:t>
      </w:r>
      <w:r w:rsidR="005B3FC3">
        <w:rPr>
          <w:lang w:val="en-US"/>
        </w:rPr>
        <w:t xml:space="preserve">These </w:t>
      </w:r>
      <w:r w:rsidR="00E7318A" w:rsidRPr="00E7318A">
        <w:rPr>
          <w:lang w:val="en-US"/>
        </w:rPr>
        <w:t>include mutations in the 23S rRNA subunit, changes in L3 or L4 ribosomal</w:t>
      </w:r>
      <w:r w:rsidR="00075BF0">
        <w:rPr>
          <w:lang w:val="en-US"/>
        </w:rPr>
        <w:t xml:space="preserve"> protein encoding </w:t>
      </w:r>
      <w:r w:rsidR="00E7318A" w:rsidRPr="00E7318A">
        <w:rPr>
          <w:lang w:val="en-US"/>
        </w:rPr>
        <w:t xml:space="preserve">genes and horizontal acquisition of </w:t>
      </w:r>
      <w:r w:rsidR="001D7E75">
        <w:rPr>
          <w:lang w:val="en-US"/>
        </w:rPr>
        <w:t xml:space="preserve">resistance </w:t>
      </w:r>
      <w:r w:rsidR="00E7318A" w:rsidRPr="00E7318A">
        <w:rPr>
          <w:lang w:val="en-US"/>
        </w:rPr>
        <w:t xml:space="preserve">determinants such as </w:t>
      </w:r>
      <w:proofErr w:type="spellStart"/>
      <w:r w:rsidR="00E7318A" w:rsidRPr="000B3872">
        <w:rPr>
          <w:i/>
          <w:iCs/>
          <w:lang w:val="en-US"/>
        </w:rPr>
        <w:t>optrA</w:t>
      </w:r>
      <w:proofErr w:type="spellEnd"/>
      <w:r w:rsidR="00E7318A" w:rsidRPr="00E7318A">
        <w:rPr>
          <w:lang w:val="en-US"/>
        </w:rPr>
        <w:t xml:space="preserve">, </w:t>
      </w:r>
      <w:proofErr w:type="spellStart"/>
      <w:r w:rsidR="00F57188" w:rsidRPr="000C0F29">
        <w:rPr>
          <w:i/>
          <w:iCs/>
          <w:lang w:val="en-US"/>
        </w:rPr>
        <w:t>poxtA</w:t>
      </w:r>
      <w:proofErr w:type="spellEnd"/>
      <w:r w:rsidR="00F57188">
        <w:rPr>
          <w:lang w:val="en-US"/>
        </w:rPr>
        <w:t xml:space="preserve"> </w:t>
      </w:r>
      <w:r w:rsidR="00E7318A" w:rsidRPr="00E7318A">
        <w:rPr>
          <w:lang w:val="en-US"/>
        </w:rPr>
        <w:t>and</w:t>
      </w:r>
      <w:r w:rsidR="001D7E75">
        <w:rPr>
          <w:lang w:val="en-US"/>
        </w:rPr>
        <w:t xml:space="preserve"> </w:t>
      </w:r>
      <w:proofErr w:type="spellStart"/>
      <w:r w:rsidR="00E7318A" w:rsidRPr="000C0F29">
        <w:rPr>
          <w:i/>
          <w:iCs/>
          <w:lang w:val="en-US"/>
        </w:rPr>
        <w:t>poxtA</w:t>
      </w:r>
      <w:r w:rsidR="00F57188">
        <w:rPr>
          <w:lang w:val="en-US"/>
        </w:rPr>
        <w:t>-</w:t>
      </w:r>
      <w:r w:rsidR="00F57188" w:rsidRPr="000C0F29">
        <w:rPr>
          <w:i/>
          <w:iCs/>
          <w:lang w:val="en-US"/>
        </w:rPr>
        <w:t>Ef</w:t>
      </w:r>
      <w:proofErr w:type="spellEnd"/>
      <w:r w:rsidR="00E7318A" w:rsidRPr="00E7318A">
        <w:rPr>
          <w:lang w:val="en-US"/>
        </w:rPr>
        <w:t xml:space="preserve"> genes</w:t>
      </w:r>
      <w:r w:rsidR="009F788B">
        <w:rPr>
          <w:lang w:val="en-US"/>
        </w:rPr>
        <w:t xml:space="preserve"> </w:t>
      </w:r>
      <w:r w:rsidR="009F788B" w:rsidRPr="000B3872">
        <w:rPr>
          <w:lang w:val="en-US"/>
        </w:rPr>
        <w:t>(</w:t>
      </w:r>
      <w:r w:rsidR="00903EED" w:rsidRPr="000B3872">
        <w:rPr>
          <w:lang w:val="en-US"/>
        </w:rPr>
        <w:t>8-10</w:t>
      </w:r>
      <w:r w:rsidR="009F788B" w:rsidRPr="000B3872">
        <w:rPr>
          <w:lang w:val="en-US"/>
        </w:rPr>
        <w:t>)</w:t>
      </w:r>
      <w:r w:rsidR="006E0978" w:rsidRPr="000B3872">
        <w:rPr>
          <w:lang w:val="en-US"/>
        </w:rPr>
        <w:t>.</w:t>
      </w:r>
      <w:r w:rsidR="006E0978">
        <w:rPr>
          <w:lang w:val="en-US"/>
        </w:rPr>
        <w:t xml:space="preserve"> The </w:t>
      </w:r>
      <w:r w:rsidR="000467CD">
        <w:rPr>
          <w:lang w:val="en-US"/>
        </w:rPr>
        <w:t>linezolid MIC-</w:t>
      </w:r>
      <w:r w:rsidR="006E0978">
        <w:rPr>
          <w:lang w:val="en-US"/>
        </w:rPr>
        <w:t xml:space="preserve">level </w:t>
      </w:r>
      <w:r w:rsidR="00D317D8">
        <w:rPr>
          <w:lang w:val="en-US"/>
        </w:rPr>
        <w:t>in LRE have been shown to vary considerably challenging breakpoints in current AST</w:t>
      </w:r>
      <w:r w:rsidR="00AB03FC">
        <w:rPr>
          <w:lang w:val="en-US"/>
        </w:rPr>
        <w:t>. A</w:t>
      </w:r>
      <w:r w:rsidR="00B6112E">
        <w:rPr>
          <w:lang w:val="en-US"/>
        </w:rPr>
        <w:t xml:space="preserve">n ATU </w:t>
      </w:r>
      <w:r w:rsidR="0080659D">
        <w:rPr>
          <w:lang w:val="en-US"/>
        </w:rPr>
        <w:t>in the EUCAST disk diffusion method</w:t>
      </w:r>
      <w:r w:rsidR="00AB03FC">
        <w:rPr>
          <w:lang w:val="en-US"/>
        </w:rPr>
        <w:t xml:space="preserve"> has been suggested</w:t>
      </w:r>
      <w:r w:rsidR="0080659D">
        <w:rPr>
          <w:lang w:val="en-US"/>
        </w:rPr>
        <w:t xml:space="preserve"> </w:t>
      </w:r>
      <w:r w:rsidR="00D317D8">
        <w:rPr>
          <w:lang w:val="en-US"/>
        </w:rPr>
        <w:t>(</w:t>
      </w:r>
      <w:r w:rsidR="00903EED">
        <w:rPr>
          <w:lang w:val="en-US"/>
        </w:rPr>
        <w:t>11</w:t>
      </w:r>
      <w:r w:rsidR="00D317D8">
        <w:rPr>
          <w:lang w:val="en-US"/>
        </w:rPr>
        <w:t>).</w:t>
      </w:r>
      <w:r w:rsidR="0003307D">
        <w:rPr>
          <w:lang w:val="en-US"/>
        </w:rPr>
        <w:t xml:space="preserve"> Moreover, </w:t>
      </w:r>
      <w:r w:rsidR="00ED7768">
        <w:rPr>
          <w:lang w:val="en-US"/>
        </w:rPr>
        <w:t xml:space="preserve">a recent report from the French reference laboratory suggests </w:t>
      </w:r>
      <w:r w:rsidR="00FA6FEA" w:rsidRPr="00FA6FEA">
        <w:rPr>
          <w:lang w:val="en-US"/>
        </w:rPr>
        <w:t xml:space="preserve">prolonged incubation of 2 days </w:t>
      </w:r>
      <w:r w:rsidR="000B3872">
        <w:rPr>
          <w:lang w:val="en-US"/>
        </w:rPr>
        <w:t xml:space="preserve">to increase reading accuracy of linezolid susceptibility </w:t>
      </w:r>
      <w:r w:rsidR="00FA6FEA" w:rsidRPr="00FA6FEA">
        <w:rPr>
          <w:lang w:val="en-US"/>
        </w:rPr>
        <w:t xml:space="preserve">due to hazy growth in </w:t>
      </w:r>
      <w:r w:rsidR="00601AF8" w:rsidRPr="00FA6FEA">
        <w:rPr>
          <w:lang w:val="en-US"/>
        </w:rPr>
        <w:t>agar</w:t>
      </w:r>
      <w:r w:rsidR="00601AF8">
        <w:rPr>
          <w:lang w:val="en-US"/>
        </w:rPr>
        <w:t>-based</w:t>
      </w:r>
      <w:r w:rsidR="00633963">
        <w:rPr>
          <w:lang w:val="en-US"/>
        </w:rPr>
        <w:t xml:space="preserve"> </w:t>
      </w:r>
      <w:r w:rsidR="00FA6FEA" w:rsidRPr="00FA6FEA">
        <w:rPr>
          <w:lang w:val="en-US"/>
        </w:rPr>
        <w:t>diffusion</w:t>
      </w:r>
      <w:r w:rsidR="00640544">
        <w:rPr>
          <w:lang w:val="en-US"/>
        </w:rPr>
        <w:t xml:space="preserve"> </w:t>
      </w:r>
      <w:r w:rsidR="00FA6FEA" w:rsidRPr="00FA6FEA">
        <w:rPr>
          <w:lang w:val="en-US"/>
        </w:rPr>
        <w:t>methods</w:t>
      </w:r>
      <w:r w:rsidR="00FA6FEA">
        <w:rPr>
          <w:lang w:val="en-US"/>
        </w:rPr>
        <w:t xml:space="preserve"> </w:t>
      </w:r>
      <w:r w:rsidR="00B86E95">
        <w:rPr>
          <w:lang w:val="en-US"/>
        </w:rPr>
        <w:t>(</w:t>
      </w:r>
      <w:r w:rsidR="00903EED">
        <w:rPr>
          <w:lang w:val="en-US"/>
        </w:rPr>
        <w:t>12</w:t>
      </w:r>
      <w:r w:rsidR="00B86E95">
        <w:rPr>
          <w:lang w:val="en-US"/>
        </w:rPr>
        <w:t>)</w:t>
      </w:r>
      <w:r w:rsidR="00640544">
        <w:rPr>
          <w:lang w:val="en-US"/>
        </w:rPr>
        <w:t>.</w:t>
      </w:r>
    </w:p>
    <w:p w14:paraId="679F086F" w14:textId="77777777" w:rsidR="007A52FE" w:rsidRDefault="007A52FE" w:rsidP="000C0F29">
      <w:pPr>
        <w:spacing w:line="276" w:lineRule="auto"/>
        <w:jc w:val="both"/>
        <w:rPr>
          <w:lang w:val="en-US"/>
        </w:rPr>
      </w:pPr>
    </w:p>
    <w:p w14:paraId="1AD4468F" w14:textId="3892C777" w:rsidR="00A93B22" w:rsidRDefault="001F72A7" w:rsidP="00C514F1">
      <w:pPr>
        <w:spacing w:line="276" w:lineRule="auto"/>
        <w:jc w:val="both"/>
        <w:rPr>
          <w:lang w:val="en-US"/>
        </w:rPr>
      </w:pPr>
      <w:r>
        <w:rPr>
          <w:lang w:val="en-US"/>
        </w:rPr>
        <w:t>I</w:t>
      </w:r>
      <w:r w:rsidR="00A93B22" w:rsidRPr="00A93B22">
        <w:rPr>
          <w:lang w:val="en-US"/>
        </w:rPr>
        <w:t>t is important that laborato</w:t>
      </w:r>
      <w:r w:rsidR="00A93B22">
        <w:rPr>
          <w:lang w:val="en-US"/>
        </w:rPr>
        <w:t xml:space="preserve">ries </w:t>
      </w:r>
      <w:r w:rsidR="00EB006B">
        <w:rPr>
          <w:lang w:val="en-US"/>
        </w:rPr>
        <w:t>can</w:t>
      </w:r>
      <w:r w:rsidR="00A93B22" w:rsidRPr="00A93B22">
        <w:rPr>
          <w:lang w:val="en-US"/>
        </w:rPr>
        <w:t xml:space="preserve"> rapid</w:t>
      </w:r>
      <w:r w:rsidR="00A93B22">
        <w:rPr>
          <w:lang w:val="en-US"/>
        </w:rPr>
        <w:t xml:space="preserve">ly detect </w:t>
      </w:r>
      <w:r w:rsidR="00374467">
        <w:rPr>
          <w:lang w:val="en-US"/>
        </w:rPr>
        <w:t xml:space="preserve">and report </w:t>
      </w:r>
      <w:r w:rsidR="00EB006B">
        <w:rPr>
          <w:lang w:val="en-US"/>
        </w:rPr>
        <w:t>LRE/TRE</w:t>
      </w:r>
      <w:r w:rsidR="00A93B22">
        <w:rPr>
          <w:lang w:val="en-US"/>
        </w:rPr>
        <w:t xml:space="preserve"> </w:t>
      </w:r>
      <w:r w:rsidR="00A93B22" w:rsidRPr="00A93B22">
        <w:rPr>
          <w:lang w:val="en-US"/>
        </w:rPr>
        <w:t>to support appropriate therapy and infection control measures.</w:t>
      </w:r>
      <w:r w:rsidR="00E1657B">
        <w:rPr>
          <w:lang w:val="en-US"/>
        </w:rPr>
        <w:t xml:space="preserve"> </w:t>
      </w:r>
      <w:r w:rsidR="00C15569">
        <w:rPr>
          <w:lang w:val="en-US"/>
        </w:rPr>
        <w:t>Thus</w:t>
      </w:r>
      <w:r w:rsidR="00BB4130">
        <w:rPr>
          <w:lang w:val="en-US"/>
        </w:rPr>
        <w:t>,</w:t>
      </w:r>
      <w:r w:rsidR="00C15569">
        <w:rPr>
          <w:lang w:val="en-US"/>
        </w:rPr>
        <w:t xml:space="preserve"> we would like to examine the ability</w:t>
      </w:r>
      <w:r w:rsidR="00240CB0">
        <w:rPr>
          <w:lang w:val="en-US"/>
        </w:rPr>
        <w:t xml:space="preserve"> </w:t>
      </w:r>
      <w:r w:rsidR="00C15569">
        <w:rPr>
          <w:lang w:val="en-US"/>
        </w:rPr>
        <w:t xml:space="preserve">to detect and report </w:t>
      </w:r>
      <w:r>
        <w:rPr>
          <w:lang w:val="en-US"/>
        </w:rPr>
        <w:t>LRE/TRE</w:t>
      </w:r>
      <w:r w:rsidR="00C86675">
        <w:rPr>
          <w:lang w:val="en-US"/>
        </w:rPr>
        <w:t xml:space="preserve"> according to EUCAST</w:t>
      </w:r>
      <w:r w:rsidR="007B5FFE">
        <w:rPr>
          <w:lang w:val="en-US"/>
        </w:rPr>
        <w:t xml:space="preserve"> (</w:t>
      </w:r>
      <w:r w:rsidR="007B5FFE" w:rsidRPr="007B5FFE">
        <w:rPr>
          <w:lang w:val="en-US"/>
        </w:rPr>
        <w:t>http://www.eucast.org/</w:t>
      </w:r>
      <w:r w:rsidR="007B5FFE">
        <w:rPr>
          <w:lang w:val="en-US"/>
        </w:rPr>
        <w:t>)</w:t>
      </w:r>
      <w:r w:rsidR="00C86675">
        <w:rPr>
          <w:lang w:val="en-US"/>
        </w:rPr>
        <w:t xml:space="preserve"> guidelines</w:t>
      </w:r>
      <w:r w:rsidR="00640544">
        <w:rPr>
          <w:lang w:val="en-US"/>
        </w:rPr>
        <w:t xml:space="preserve"> in a </w:t>
      </w:r>
      <w:r w:rsidR="00240CB0">
        <w:rPr>
          <w:lang w:val="en-US"/>
        </w:rPr>
        <w:t>multicenter</w:t>
      </w:r>
      <w:r w:rsidR="00640544">
        <w:rPr>
          <w:lang w:val="en-US"/>
        </w:rPr>
        <w:t xml:space="preserve"> </w:t>
      </w:r>
      <w:r w:rsidR="00240CB0">
        <w:rPr>
          <w:lang w:val="en-US"/>
        </w:rPr>
        <w:t>study in Nordic laboratories</w:t>
      </w:r>
      <w:r w:rsidR="00C15569">
        <w:rPr>
          <w:lang w:val="en-US"/>
        </w:rPr>
        <w:t>.</w:t>
      </w:r>
      <w:r w:rsidR="00374467">
        <w:rPr>
          <w:lang w:val="en-US"/>
        </w:rPr>
        <w:t xml:space="preserve"> </w:t>
      </w:r>
    </w:p>
    <w:p w14:paraId="5CA39EA2" w14:textId="77777777" w:rsidR="00C329AE" w:rsidRDefault="00C329AE" w:rsidP="00466682">
      <w:pPr>
        <w:spacing w:after="12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09A005" w14:textId="77777777" w:rsidR="00466682" w:rsidRPr="00C04639" w:rsidRDefault="00466682" w:rsidP="00466682">
      <w:pPr>
        <w:spacing w:after="120"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C04639">
        <w:rPr>
          <w:rFonts w:ascii="Arial" w:hAnsi="Arial" w:cs="Arial"/>
          <w:b/>
          <w:sz w:val="24"/>
          <w:szCs w:val="24"/>
          <w:lang w:val="en-US"/>
        </w:rPr>
        <w:t>Purpose</w:t>
      </w:r>
    </w:p>
    <w:p w14:paraId="684C9A42" w14:textId="0B3EF63B" w:rsidR="00FD7BF3" w:rsidRPr="00C04639" w:rsidRDefault="00F03DC4" w:rsidP="00C619F5">
      <w:pPr>
        <w:spacing w:line="276" w:lineRule="auto"/>
        <w:jc w:val="both"/>
        <w:rPr>
          <w:lang w:val="en-US"/>
        </w:rPr>
      </w:pPr>
      <w:r w:rsidRPr="00C04639">
        <w:rPr>
          <w:lang w:val="en-US"/>
        </w:rPr>
        <w:t xml:space="preserve">We hereby invite Nordic (Denmark, Finland, Iceland, </w:t>
      </w:r>
      <w:r w:rsidR="00096A89" w:rsidRPr="00C04639">
        <w:rPr>
          <w:lang w:val="en-US"/>
        </w:rPr>
        <w:t>Norway,</w:t>
      </w:r>
      <w:r w:rsidRPr="00C04639">
        <w:rPr>
          <w:lang w:val="en-US"/>
        </w:rPr>
        <w:t xml:space="preserve"> and Sweden) laboratories to examine a well characterized, geneticall</w:t>
      </w:r>
      <w:r w:rsidR="00A422AF" w:rsidRPr="00C04639">
        <w:rPr>
          <w:lang w:val="en-US"/>
        </w:rPr>
        <w:t>y</w:t>
      </w:r>
      <w:r w:rsidRPr="00C04639">
        <w:rPr>
          <w:lang w:val="en-US"/>
        </w:rPr>
        <w:t xml:space="preserve"> diverse </w:t>
      </w:r>
      <w:r w:rsidR="00144670" w:rsidRPr="00C04639">
        <w:rPr>
          <w:lang w:val="en-US"/>
        </w:rPr>
        <w:t xml:space="preserve">collection of </w:t>
      </w:r>
      <w:r w:rsidR="00144670" w:rsidRPr="00C04639">
        <w:rPr>
          <w:i/>
          <w:iCs/>
          <w:lang w:val="en-US"/>
        </w:rPr>
        <w:t>E. faecium</w:t>
      </w:r>
      <w:r w:rsidR="00144670" w:rsidRPr="00C04639">
        <w:rPr>
          <w:lang w:val="en-US"/>
        </w:rPr>
        <w:t xml:space="preserve"> and </w:t>
      </w:r>
      <w:r w:rsidR="00144670" w:rsidRPr="00C04639">
        <w:rPr>
          <w:i/>
          <w:iCs/>
          <w:lang w:val="en-US"/>
        </w:rPr>
        <w:t>E. faecalis</w:t>
      </w:r>
      <w:r w:rsidR="00144670" w:rsidRPr="00C04639">
        <w:rPr>
          <w:lang w:val="en-US"/>
        </w:rPr>
        <w:t xml:space="preserve"> </w:t>
      </w:r>
      <w:r w:rsidRPr="00C04639">
        <w:rPr>
          <w:lang w:val="en-US"/>
        </w:rPr>
        <w:t>(n=</w:t>
      </w:r>
      <w:r w:rsidR="00144670" w:rsidRPr="00C04639">
        <w:rPr>
          <w:lang w:val="en-US"/>
        </w:rPr>
        <w:t>2</w:t>
      </w:r>
      <w:r w:rsidRPr="00C04639">
        <w:rPr>
          <w:lang w:val="en-US"/>
        </w:rPr>
        <w:t xml:space="preserve">0) with and without reduced susceptibility to </w:t>
      </w:r>
      <w:r w:rsidR="00144670" w:rsidRPr="00C04639">
        <w:rPr>
          <w:lang w:val="en-US"/>
        </w:rPr>
        <w:t>linezolid or tigecycline in a blinded format</w:t>
      </w:r>
      <w:r w:rsidRPr="00C04639">
        <w:rPr>
          <w:lang w:val="en-US"/>
        </w:rPr>
        <w:t>.</w:t>
      </w:r>
      <w:r w:rsidR="00A422AF" w:rsidRPr="00C04639">
        <w:rPr>
          <w:lang w:val="en-US"/>
        </w:rPr>
        <w:t xml:space="preserve"> </w:t>
      </w:r>
      <w:r w:rsidR="00FD7BF3" w:rsidRPr="00C04639">
        <w:rPr>
          <w:lang w:val="en-US"/>
        </w:rPr>
        <w:t xml:space="preserve">The </w:t>
      </w:r>
      <w:r w:rsidR="00144670" w:rsidRPr="00C04639">
        <w:rPr>
          <w:lang w:val="en-US"/>
        </w:rPr>
        <w:t xml:space="preserve">primary </w:t>
      </w:r>
      <w:r w:rsidR="0079622D" w:rsidRPr="00C04639">
        <w:rPr>
          <w:lang w:val="en-US"/>
        </w:rPr>
        <w:t>aim</w:t>
      </w:r>
      <w:r w:rsidR="00FD7BF3" w:rsidRPr="00C04639">
        <w:rPr>
          <w:lang w:val="en-US"/>
        </w:rPr>
        <w:t xml:space="preserve"> of this study is to ex</w:t>
      </w:r>
      <w:r w:rsidR="00144670" w:rsidRPr="00C04639">
        <w:rPr>
          <w:lang w:val="en-US"/>
        </w:rPr>
        <w:t>plore</w:t>
      </w:r>
      <w:r w:rsidR="00FD7BF3" w:rsidRPr="00C04639">
        <w:rPr>
          <w:lang w:val="en-US"/>
        </w:rPr>
        <w:t xml:space="preserve"> the </w:t>
      </w:r>
      <w:r w:rsidR="00E46857" w:rsidRPr="00C04639">
        <w:rPr>
          <w:lang w:val="en-US"/>
        </w:rPr>
        <w:t xml:space="preserve">performance </w:t>
      </w:r>
      <w:r w:rsidR="00FD7BF3" w:rsidRPr="00C04639">
        <w:rPr>
          <w:lang w:val="en-US"/>
        </w:rPr>
        <w:t xml:space="preserve">of </w:t>
      </w:r>
      <w:r w:rsidR="005600A2" w:rsidRPr="00C04639">
        <w:rPr>
          <w:lang w:val="en-US"/>
        </w:rPr>
        <w:t>the EUCAST disc diffusion method</w:t>
      </w:r>
      <w:r w:rsidR="007B5FFE" w:rsidRPr="00C04639">
        <w:rPr>
          <w:lang w:val="en-US"/>
        </w:rPr>
        <w:t xml:space="preserve"> (</w:t>
      </w:r>
      <w:hyperlink r:id="rId8" w:history="1">
        <w:r w:rsidR="007B5FFE" w:rsidRPr="00C04639">
          <w:rPr>
            <w:rStyle w:val="Hyperkobling"/>
            <w:lang w:val="en-US"/>
          </w:rPr>
          <w:t>http://www.eucast.org/)</w:t>
        </w:r>
      </w:hyperlink>
      <w:r w:rsidR="00883E74" w:rsidRPr="00C04639">
        <w:rPr>
          <w:lang w:val="en-US"/>
        </w:rPr>
        <w:t xml:space="preserve"> and supplementary methods</w:t>
      </w:r>
      <w:r w:rsidR="00466682" w:rsidRPr="00C04639">
        <w:rPr>
          <w:lang w:val="en-US"/>
        </w:rPr>
        <w:t xml:space="preserve"> to detect</w:t>
      </w:r>
      <w:r w:rsidR="00144670" w:rsidRPr="00C04639">
        <w:rPr>
          <w:lang w:val="en-US"/>
        </w:rPr>
        <w:t xml:space="preserve"> reduced susceptibility to linezolid and tigecycline</w:t>
      </w:r>
      <w:r w:rsidRPr="00C04639">
        <w:rPr>
          <w:lang w:val="en-US"/>
        </w:rPr>
        <w:t>.</w:t>
      </w:r>
      <w:r w:rsidR="00883E74" w:rsidRPr="00C04639">
        <w:rPr>
          <w:lang w:val="en-US"/>
        </w:rPr>
        <w:t xml:space="preserve"> </w:t>
      </w:r>
    </w:p>
    <w:p w14:paraId="5DC6C9E4" w14:textId="77777777" w:rsidR="00FD7BF3" w:rsidRPr="00C04639" w:rsidRDefault="00FD7BF3" w:rsidP="00466682">
      <w:pPr>
        <w:spacing w:line="360" w:lineRule="auto"/>
        <w:jc w:val="left"/>
        <w:rPr>
          <w:lang w:val="en-US"/>
        </w:rPr>
      </w:pPr>
    </w:p>
    <w:p w14:paraId="2E3C0998" w14:textId="77777777" w:rsidR="007811CC" w:rsidRPr="00C04639" w:rsidRDefault="007811CC" w:rsidP="00466682">
      <w:pPr>
        <w:spacing w:after="120"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C04639">
        <w:rPr>
          <w:rFonts w:ascii="Arial" w:hAnsi="Arial" w:cs="Arial"/>
          <w:b/>
          <w:sz w:val="24"/>
          <w:szCs w:val="24"/>
          <w:lang w:val="en-US"/>
        </w:rPr>
        <w:t>Study design</w:t>
      </w:r>
    </w:p>
    <w:p w14:paraId="5048D6EC" w14:textId="66B5BE65" w:rsidR="007811CC" w:rsidRPr="00C04639" w:rsidRDefault="007811CC" w:rsidP="00C619F5">
      <w:pPr>
        <w:spacing w:line="276" w:lineRule="auto"/>
        <w:jc w:val="both"/>
        <w:rPr>
          <w:lang w:val="en-US"/>
        </w:rPr>
      </w:pPr>
      <w:r w:rsidRPr="00C04639">
        <w:rPr>
          <w:b/>
          <w:lang w:val="en-US"/>
        </w:rPr>
        <w:t>Timeline.</w:t>
      </w:r>
      <w:r w:rsidRPr="00C04639">
        <w:rPr>
          <w:lang w:val="en-US"/>
        </w:rPr>
        <w:t xml:space="preserve"> Invitation to participate </w:t>
      </w:r>
      <w:r w:rsidR="002E5AB9" w:rsidRPr="00C04639">
        <w:rPr>
          <w:lang w:val="en-US"/>
        </w:rPr>
        <w:t xml:space="preserve">in this study will be </w:t>
      </w:r>
      <w:r w:rsidRPr="00C04639">
        <w:rPr>
          <w:lang w:val="en-US"/>
        </w:rPr>
        <w:t xml:space="preserve">sent by </w:t>
      </w:r>
      <w:r w:rsidR="002E2A33">
        <w:rPr>
          <w:lang w:val="en-US"/>
        </w:rPr>
        <w:t xml:space="preserve">the end of </w:t>
      </w:r>
      <w:r w:rsidR="00EA6CDF" w:rsidRPr="00C04639">
        <w:rPr>
          <w:lang w:val="en-US"/>
        </w:rPr>
        <w:t>January</w:t>
      </w:r>
      <w:r w:rsidR="007E655E" w:rsidRPr="00C04639">
        <w:rPr>
          <w:lang w:val="en-US"/>
        </w:rPr>
        <w:t xml:space="preserve"> 20</w:t>
      </w:r>
      <w:r w:rsidR="00144670" w:rsidRPr="00C04639">
        <w:rPr>
          <w:lang w:val="en-US"/>
        </w:rPr>
        <w:t>23</w:t>
      </w:r>
      <w:r w:rsidR="007E655E" w:rsidRPr="00C04639">
        <w:rPr>
          <w:lang w:val="en-US"/>
        </w:rPr>
        <w:t xml:space="preserve">. </w:t>
      </w:r>
      <w:r w:rsidR="002E5AB9" w:rsidRPr="00C04639">
        <w:rPr>
          <w:lang w:val="en-US"/>
        </w:rPr>
        <w:t>Confirmation of participation (</w:t>
      </w:r>
      <w:r w:rsidR="004A2FA4" w:rsidRPr="00C04639">
        <w:rPr>
          <w:i/>
          <w:lang w:val="en-US"/>
        </w:rPr>
        <w:t>confirmed p</w:t>
      </w:r>
      <w:r w:rsidR="007E655E" w:rsidRPr="00C04639">
        <w:rPr>
          <w:i/>
          <w:lang w:val="en-US"/>
        </w:rPr>
        <w:t>articipation form</w:t>
      </w:r>
      <w:r w:rsidR="002E5AB9" w:rsidRPr="00C04639">
        <w:rPr>
          <w:lang w:val="en-US"/>
        </w:rPr>
        <w:t>)</w:t>
      </w:r>
      <w:r w:rsidR="007E655E" w:rsidRPr="00C04639">
        <w:rPr>
          <w:lang w:val="en-US"/>
        </w:rPr>
        <w:t xml:space="preserve"> has to be sent by </w:t>
      </w:r>
      <w:r w:rsidR="00144670" w:rsidRPr="00C04639">
        <w:rPr>
          <w:lang w:val="en-US"/>
        </w:rPr>
        <w:t>February</w:t>
      </w:r>
      <w:r w:rsidR="00070AA6" w:rsidRPr="00C04639">
        <w:rPr>
          <w:lang w:val="en-US"/>
        </w:rPr>
        <w:t xml:space="preserve"> 15</w:t>
      </w:r>
      <w:r w:rsidR="000C0F29" w:rsidRPr="00C04639">
        <w:rPr>
          <w:vertAlign w:val="superscript"/>
          <w:lang w:val="en-US"/>
        </w:rPr>
        <w:t>th</w:t>
      </w:r>
      <w:r w:rsidR="00070AA6" w:rsidRPr="00C04639">
        <w:rPr>
          <w:lang w:val="en-US"/>
        </w:rPr>
        <w:t>, 20</w:t>
      </w:r>
      <w:r w:rsidR="00144670" w:rsidRPr="00C04639">
        <w:rPr>
          <w:lang w:val="en-US"/>
        </w:rPr>
        <w:t>23</w:t>
      </w:r>
      <w:r w:rsidR="004A2FA4" w:rsidRPr="00C04639">
        <w:rPr>
          <w:lang w:val="en-US"/>
        </w:rPr>
        <w:t xml:space="preserve"> to the coordinating lab (</w:t>
      </w:r>
      <w:r w:rsidR="008D7AE6" w:rsidRPr="00C04639">
        <w:rPr>
          <w:lang w:val="en-US"/>
        </w:rPr>
        <w:t>Norwegian National Advisory Unit on Detection of Antimicrobial Resistance by e-mail to Bjørg Haldor</w:t>
      </w:r>
      <w:bookmarkStart w:id="1" w:name="_GoBack"/>
      <w:bookmarkEnd w:id="1"/>
      <w:r w:rsidR="008D7AE6" w:rsidRPr="00C04639">
        <w:rPr>
          <w:lang w:val="en-US"/>
        </w:rPr>
        <w:t>sen (</w:t>
      </w:r>
      <w:r w:rsidR="0022385C">
        <w:fldChar w:fldCharType="begin"/>
      </w:r>
      <w:r w:rsidR="0022385C" w:rsidRPr="00F73193">
        <w:rPr>
          <w:lang w:val="en-GB"/>
        </w:rPr>
        <w:instrText>HYPER</w:instrText>
      </w:r>
      <w:r w:rsidR="0022385C" w:rsidRPr="00F73193">
        <w:rPr>
          <w:lang w:val="en-GB"/>
        </w:rPr>
        <w:instrText>LINK "file:///C:\\Users\\asu000\\Documents\\Arnfinn\\Kres\\Prosjekt\\Nordic%20CPE%20study\\bjorg.haldorsen@unn.no"</w:instrText>
      </w:r>
      <w:r w:rsidR="0022385C">
        <w:fldChar w:fldCharType="separate"/>
      </w:r>
      <w:r w:rsidR="008D7AE6" w:rsidRPr="00C04639">
        <w:rPr>
          <w:rStyle w:val="Hyperkobling"/>
          <w:lang w:val="en-US"/>
        </w:rPr>
        <w:t>bjorg.haldorsen@unn.no</w:t>
      </w:r>
      <w:r w:rsidR="0022385C">
        <w:rPr>
          <w:rStyle w:val="Hyperkobling"/>
          <w:lang w:val="en-US"/>
        </w:rPr>
        <w:fldChar w:fldCharType="end"/>
      </w:r>
      <w:r w:rsidR="004A2FA4" w:rsidRPr="00C04639">
        <w:rPr>
          <w:lang w:val="en-US"/>
        </w:rPr>
        <w:t>)</w:t>
      </w:r>
      <w:r w:rsidR="002E5AB9" w:rsidRPr="00C04639">
        <w:rPr>
          <w:lang w:val="en-US"/>
        </w:rPr>
        <w:t>,</w:t>
      </w:r>
      <w:r w:rsidR="0011016D" w:rsidRPr="00C04639">
        <w:rPr>
          <w:lang w:val="en-US"/>
        </w:rPr>
        <w:t xml:space="preserve"> also naming </w:t>
      </w:r>
      <w:r w:rsidR="00E9079A">
        <w:rPr>
          <w:lang w:val="en-US"/>
        </w:rPr>
        <w:t>your</w:t>
      </w:r>
      <w:r w:rsidR="0009252D">
        <w:rPr>
          <w:lang w:val="en-US"/>
        </w:rPr>
        <w:t xml:space="preserve"> </w:t>
      </w:r>
      <w:r w:rsidR="0011016D" w:rsidRPr="00C04639">
        <w:rPr>
          <w:lang w:val="en-US"/>
        </w:rPr>
        <w:t xml:space="preserve">local study supervisor (contact </w:t>
      </w:r>
      <w:r w:rsidR="0011016D" w:rsidRPr="00C04639">
        <w:rPr>
          <w:lang w:val="en-US"/>
        </w:rPr>
        <w:lastRenderedPageBreak/>
        <w:t>person) for the st</w:t>
      </w:r>
      <w:r w:rsidR="00335A83" w:rsidRPr="00C04639">
        <w:rPr>
          <w:lang w:val="en-US"/>
        </w:rPr>
        <w:t xml:space="preserve">udy and contact </w:t>
      </w:r>
      <w:r w:rsidR="002E5AB9" w:rsidRPr="00C04639">
        <w:rPr>
          <w:lang w:val="en-US"/>
        </w:rPr>
        <w:t>information. A</w:t>
      </w:r>
      <w:r w:rsidR="0011016D" w:rsidRPr="00C04639">
        <w:rPr>
          <w:lang w:val="en-US"/>
        </w:rPr>
        <w:t xml:space="preserve"> bli</w:t>
      </w:r>
      <w:r w:rsidR="002E5AB9" w:rsidRPr="00C04639">
        <w:rPr>
          <w:lang w:val="en-US"/>
        </w:rPr>
        <w:t>nded panel of strains (n=</w:t>
      </w:r>
      <w:r w:rsidR="00144670" w:rsidRPr="00C04639">
        <w:rPr>
          <w:lang w:val="en-US"/>
        </w:rPr>
        <w:t>20</w:t>
      </w:r>
      <w:r w:rsidR="002E5AB9" w:rsidRPr="00C04639">
        <w:rPr>
          <w:lang w:val="en-US"/>
        </w:rPr>
        <w:t>)</w:t>
      </w:r>
      <w:r w:rsidR="00911585" w:rsidRPr="00C04639">
        <w:rPr>
          <w:lang w:val="en-US"/>
        </w:rPr>
        <w:t xml:space="preserve"> including well-known </w:t>
      </w:r>
      <w:r w:rsidR="008C3B61" w:rsidRPr="00C04639">
        <w:rPr>
          <w:lang w:val="en-US"/>
        </w:rPr>
        <w:t>quality control strain</w:t>
      </w:r>
      <w:r w:rsidR="00911585" w:rsidRPr="00C04639">
        <w:rPr>
          <w:lang w:val="en-US"/>
        </w:rPr>
        <w:t>s</w:t>
      </w:r>
      <w:r w:rsidR="008C3B61" w:rsidRPr="00C04639">
        <w:rPr>
          <w:lang w:val="en-US"/>
        </w:rPr>
        <w:t xml:space="preserve"> </w:t>
      </w:r>
      <w:r w:rsidR="002E5AB9" w:rsidRPr="00C04639">
        <w:rPr>
          <w:lang w:val="en-US"/>
        </w:rPr>
        <w:t xml:space="preserve">will be </w:t>
      </w:r>
      <w:r w:rsidR="0011016D" w:rsidRPr="00C04639">
        <w:rPr>
          <w:lang w:val="en-US"/>
        </w:rPr>
        <w:t>sent to th</w:t>
      </w:r>
      <w:r w:rsidR="002E5AB9" w:rsidRPr="00C04639">
        <w:rPr>
          <w:lang w:val="en-US"/>
        </w:rPr>
        <w:t xml:space="preserve">e participating laboratories during </w:t>
      </w:r>
      <w:r w:rsidR="006576CE" w:rsidRPr="00C04639">
        <w:rPr>
          <w:lang w:val="en-US"/>
        </w:rPr>
        <w:t xml:space="preserve">week </w:t>
      </w:r>
      <w:r w:rsidR="00144670" w:rsidRPr="00C04639">
        <w:rPr>
          <w:lang w:val="en-US"/>
        </w:rPr>
        <w:t>8-9</w:t>
      </w:r>
      <w:r w:rsidR="006576CE" w:rsidRPr="00C04639">
        <w:rPr>
          <w:lang w:val="en-US"/>
        </w:rPr>
        <w:t xml:space="preserve"> (</w:t>
      </w:r>
      <w:r w:rsidR="00144670" w:rsidRPr="00C04639">
        <w:rPr>
          <w:lang w:val="en-US"/>
        </w:rPr>
        <w:t>February 20</w:t>
      </w:r>
      <w:r w:rsidR="000C0F29" w:rsidRPr="00C04639">
        <w:rPr>
          <w:vertAlign w:val="superscript"/>
          <w:lang w:val="en-US"/>
        </w:rPr>
        <w:t>th</w:t>
      </w:r>
      <w:r w:rsidR="00144670" w:rsidRPr="00C04639">
        <w:rPr>
          <w:lang w:val="en-US"/>
        </w:rPr>
        <w:t xml:space="preserve"> </w:t>
      </w:r>
      <w:r w:rsidR="00070AA6" w:rsidRPr="00C04639">
        <w:rPr>
          <w:lang w:val="en-US"/>
        </w:rPr>
        <w:t>-</w:t>
      </w:r>
      <w:r w:rsidR="00144670" w:rsidRPr="00C04639">
        <w:rPr>
          <w:lang w:val="en-US"/>
        </w:rPr>
        <w:t xml:space="preserve"> March</w:t>
      </w:r>
      <w:r w:rsidR="0011016D" w:rsidRPr="00C04639">
        <w:rPr>
          <w:lang w:val="en-US"/>
        </w:rPr>
        <w:t xml:space="preserve"> </w:t>
      </w:r>
      <w:r w:rsidR="00144670" w:rsidRPr="00C04639">
        <w:rPr>
          <w:lang w:val="en-US"/>
        </w:rPr>
        <w:t>3</w:t>
      </w:r>
      <w:r w:rsidR="000C0F29" w:rsidRPr="00C04639">
        <w:rPr>
          <w:vertAlign w:val="superscript"/>
          <w:lang w:val="en-US"/>
        </w:rPr>
        <w:t>rd</w:t>
      </w:r>
      <w:r w:rsidR="0011016D" w:rsidRPr="00C04639">
        <w:rPr>
          <w:lang w:val="en-US"/>
        </w:rPr>
        <w:t>) along with a result form. Dea</w:t>
      </w:r>
      <w:r w:rsidR="002E5AB9" w:rsidRPr="00C04639">
        <w:rPr>
          <w:lang w:val="en-US"/>
        </w:rPr>
        <w:t xml:space="preserve">dline for submitting result will be </w:t>
      </w:r>
      <w:r w:rsidR="00144670" w:rsidRPr="00C04639">
        <w:rPr>
          <w:lang w:val="en-US"/>
        </w:rPr>
        <w:t>April 2</w:t>
      </w:r>
      <w:r w:rsidR="000C0F29" w:rsidRPr="00C04639">
        <w:rPr>
          <w:vertAlign w:val="superscript"/>
          <w:lang w:val="en-US"/>
        </w:rPr>
        <w:t>nd</w:t>
      </w:r>
      <w:r w:rsidR="0011016D" w:rsidRPr="00C04639">
        <w:rPr>
          <w:lang w:val="en-US"/>
        </w:rPr>
        <w:t>, 20</w:t>
      </w:r>
      <w:r w:rsidR="00144670" w:rsidRPr="00C04639">
        <w:rPr>
          <w:lang w:val="en-US"/>
        </w:rPr>
        <w:t>23</w:t>
      </w:r>
      <w:r w:rsidR="00C619F5" w:rsidRPr="00C04639">
        <w:rPr>
          <w:lang w:val="en-US"/>
        </w:rPr>
        <w:t>.</w:t>
      </w:r>
    </w:p>
    <w:p w14:paraId="1569F93F" w14:textId="77777777" w:rsidR="0011016D" w:rsidRPr="00C04639" w:rsidRDefault="0011016D" w:rsidP="0011016D">
      <w:pPr>
        <w:spacing w:line="360" w:lineRule="auto"/>
        <w:jc w:val="left"/>
        <w:rPr>
          <w:lang w:val="en-US"/>
        </w:rPr>
      </w:pPr>
    </w:p>
    <w:p w14:paraId="1D8BB3BD" w14:textId="1F109D17" w:rsidR="0011016D" w:rsidRPr="00AE6FA9" w:rsidRDefault="0011016D" w:rsidP="00C619F5">
      <w:pPr>
        <w:spacing w:line="276" w:lineRule="auto"/>
        <w:jc w:val="both"/>
        <w:rPr>
          <w:lang w:val="en-US"/>
        </w:rPr>
      </w:pPr>
      <w:r w:rsidRPr="00C04639">
        <w:rPr>
          <w:b/>
          <w:lang w:val="en-US"/>
        </w:rPr>
        <w:t>Bacterial strains.</w:t>
      </w:r>
      <w:r w:rsidRPr="00C04639">
        <w:rPr>
          <w:lang w:val="en-US"/>
        </w:rPr>
        <w:t xml:space="preserve"> T</w:t>
      </w:r>
      <w:r w:rsidR="00CC70F7" w:rsidRPr="00C04639">
        <w:rPr>
          <w:lang w:val="en-US"/>
        </w:rPr>
        <w:t xml:space="preserve">he strain panel consists of well-characterized reference strains and </w:t>
      </w:r>
      <w:r w:rsidR="00144670" w:rsidRPr="00C04639">
        <w:rPr>
          <w:i/>
          <w:iCs/>
          <w:lang w:val="en-US"/>
        </w:rPr>
        <w:t>Enterococcus</w:t>
      </w:r>
      <w:r w:rsidR="00543D61" w:rsidRPr="00C04639">
        <w:rPr>
          <w:lang w:val="en-US"/>
        </w:rPr>
        <w:t xml:space="preserve"> strains </w:t>
      </w:r>
      <w:r w:rsidR="00885093" w:rsidRPr="00C04639">
        <w:rPr>
          <w:lang w:val="en-US"/>
        </w:rPr>
        <w:t>(n=</w:t>
      </w:r>
      <w:r w:rsidR="00144670" w:rsidRPr="00C04639">
        <w:rPr>
          <w:lang w:val="en-US"/>
        </w:rPr>
        <w:t>2</w:t>
      </w:r>
      <w:r w:rsidR="00885093" w:rsidRPr="00C04639">
        <w:rPr>
          <w:lang w:val="en-US"/>
        </w:rPr>
        <w:t xml:space="preserve">0 in total) </w:t>
      </w:r>
      <w:r w:rsidR="00543D61" w:rsidRPr="00C04639">
        <w:rPr>
          <w:lang w:val="en-US"/>
        </w:rPr>
        <w:t>obtained from human</w:t>
      </w:r>
      <w:r w:rsidR="00CC70F7" w:rsidRPr="00C04639">
        <w:rPr>
          <w:lang w:val="en-US"/>
        </w:rPr>
        <w:t xml:space="preserve"> samples </w:t>
      </w:r>
      <w:r w:rsidR="00144670" w:rsidRPr="00C04639">
        <w:rPr>
          <w:lang w:val="en-US"/>
        </w:rPr>
        <w:t>since 2012</w:t>
      </w:r>
      <w:r w:rsidR="00CC70F7" w:rsidRPr="00C04639">
        <w:rPr>
          <w:lang w:val="en-US"/>
        </w:rPr>
        <w:t xml:space="preserve"> </w:t>
      </w:r>
      <w:r w:rsidR="000846F4" w:rsidRPr="00C04639">
        <w:rPr>
          <w:lang w:val="en-US"/>
        </w:rPr>
        <w:t xml:space="preserve">with </w:t>
      </w:r>
      <w:r w:rsidR="00CC70F7" w:rsidRPr="00C04639">
        <w:rPr>
          <w:lang w:val="en-US"/>
        </w:rPr>
        <w:t>a range of MICs against</w:t>
      </w:r>
      <w:r w:rsidRPr="00C04639">
        <w:rPr>
          <w:lang w:val="en-US"/>
        </w:rPr>
        <w:t xml:space="preserve"> </w:t>
      </w:r>
      <w:r w:rsidR="00144670" w:rsidRPr="00C04639">
        <w:rPr>
          <w:lang w:val="en-US"/>
        </w:rPr>
        <w:t>linezolid</w:t>
      </w:r>
      <w:r w:rsidR="00343696" w:rsidRPr="00C04639">
        <w:rPr>
          <w:lang w:val="en-US"/>
        </w:rPr>
        <w:t xml:space="preserve"> and tigecycline as well as</w:t>
      </w:r>
      <w:r w:rsidR="008961C2" w:rsidRPr="00C04639">
        <w:rPr>
          <w:lang w:val="en-US"/>
        </w:rPr>
        <w:t xml:space="preserve"> </w:t>
      </w:r>
      <w:r w:rsidR="00343696" w:rsidRPr="00C04639">
        <w:rPr>
          <w:lang w:val="en-US"/>
        </w:rPr>
        <w:t xml:space="preserve">diverse </w:t>
      </w:r>
      <w:r w:rsidR="005B54C1" w:rsidRPr="00C04639">
        <w:rPr>
          <w:lang w:val="en-US"/>
        </w:rPr>
        <w:t>resistance mechanisms</w:t>
      </w:r>
      <w:r w:rsidR="004A2FA4" w:rsidRPr="00C04639">
        <w:rPr>
          <w:lang w:val="en-US"/>
        </w:rPr>
        <w:t>. The strains have been</w:t>
      </w:r>
      <w:r w:rsidR="000846F4" w:rsidRPr="00C04639">
        <w:rPr>
          <w:lang w:val="en-US"/>
        </w:rPr>
        <w:t xml:space="preserve"> identified by </w:t>
      </w:r>
      <w:r w:rsidR="00B66DD7" w:rsidRPr="00C04639">
        <w:rPr>
          <w:lang w:val="en-US"/>
        </w:rPr>
        <w:t>MALDI</w:t>
      </w:r>
      <w:r w:rsidR="000846F4" w:rsidRPr="00C04639">
        <w:rPr>
          <w:lang w:val="en-US"/>
        </w:rPr>
        <w:t>-TOF and genotyped by</w:t>
      </w:r>
      <w:r w:rsidR="00343696" w:rsidRPr="00C04639">
        <w:rPr>
          <w:lang w:val="en-US"/>
        </w:rPr>
        <w:t xml:space="preserve"> </w:t>
      </w:r>
      <w:r w:rsidR="00C619F5" w:rsidRPr="00C04639">
        <w:rPr>
          <w:lang w:val="en-US"/>
        </w:rPr>
        <w:t>whole genome sequencing (WGS)</w:t>
      </w:r>
      <w:r w:rsidR="000846F4" w:rsidRPr="00C04639">
        <w:rPr>
          <w:lang w:val="en-US"/>
        </w:rPr>
        <w:t xml:space="preserve"> </w:t>
      </w:r>
      <w:r w:rsidR="00CC70F7" w:rsidRPr="00C04639">
        <w:rPr>
          <w:lang w:val="en-US"/>
        </w:rPr>
        <w:t xml:space="preserve">to ensure correct species and resistance determinant identification as well as genetic </w:t>
      </w:r>
      <w:r w:rsidR="00737D6F" w:rsidRPr="00C04639">
        <w:rPr>
          <w:lang w:val="en-US"/>
        </w:rPr>
        <w:t>heterogeneity</w:t>
      </w:r>
      <w:r w:rsidR="00C619F5" w:rsidRPr="00C04639">
        <w:rPr>
          <w:lang w:val="en-US"/>
        </w:rPr>
        <w:t>.</w:t>
      </w:r>
      <w:r w:rsidR="00AE6FA9">
        <w:rPr>
          <w:lang w:val="en-US"/>
        </w:rPr>
        <w:t xml:space="preserve"> </w:t>
      </w:r>
    </w:p>
    <w:p w14:paraId="137B28F0" w14:textId="77777777" w:rsidR="008831B5" w:rsidRPr="00C04639" w:rsidRDefault="008831B5" w:rsidP="0011016D">
      <w:pPr>
        <w:spacing w:line="360" w:lineRule="auto"/>
        <w:jc w:val="left"/>
        <w:rPr>
          <w:lang w:val="en-US"/>
        </w:rPr>
      </w:pPr>
    </w:p>
    <w:p w14:paraId="76DE3967" w14:textId="5613FE02" w:rsidR="00AC1782" w:rsidRPr="00C04639" w:rsidRDefault="008831B5" w:rsidP="00A93B22">
      <w:pPr>
        <w:spacing w:line="276" w:lineRule="auto"/>
        <w:jc w:val="left"/>
        <w:rPr>
          <w:rFonts w:ascii="Arial" w:hAnsi="Arial" w:cs="Arial"/>
          <w:lang w:val="en-US"/>
        </w:rPr>
      </w:pPr>
      <w:r w:rsidRPr="00C04639">
        <w:rPr>
          <w:rFonts w:ascii="Arial" w:hAnsi="Arial" w:cs="Arial"/>
          <w:b/>
          <w:lang w:val="en-US"/>
        </w:rPr>
        <w:t>Methods.</w:t>
      </w:r>
      <w:r w:rsidRPr="00C04639">
        <w:rPr>
          <w:rFonts w:ascii="Arial" w:hAnsi="Arial" w:cs="Arial"/>
          <w:lang w:val="en-US"/>
        </w:rPr>
        <w:t xml:space="preserve">  </w:t>
      </w:r>
    </w:p>
    <w:p w14:paraId="580474F5" w14:textId="77777777" w:rsidR="00C877B9" w:rsidRPr="00C04639" w:rsidRDefault="00C877B9" w:rsidP="00A93B22">
      <w:pPr>
        <w:spacing w:line="276" w:lineRule="auto"/>
        <w:jc w:val="left"/>
        <w:rPr>
          <w:rFonts w:ascii="Arial" w:hAnsi="Arial" w:cs="Arial"/>
          <w:lang w:val="en-US"/>
        </w:rPr>
      </w:pPr>
    </w:p>
    <w:p w14:paraId="19491083" w14:textId="77777777" w:rsidR="00A27900" w:rsidRPr="00C04639" w:rsidRDefault="00A27900" w:rsidP="008E2D46">
      <w:pPr>
        <w:pStyle w:val="Listeavsnitt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C04639">
        <w:rPr>
          <w:u w:val="single"/>
          <w:lang w:val="en-US"/>
        </w:rPr>
        <w:t xml:space="preserve">All </w:t>
      </w:r>
      <w:r w:rsidRPr="00C04639">
        <w:rPr>
          <w:lang w:val="en-US"/>
        </w:rPr>
        <w:t>laboratories must perform bacterial identification at the species level and record methods used.</w:t>
      </w:r>
    </w:p>
    <w:p w14:paraId="230B3B2C" w14:textId="15ABCFE4" w:rsidR="00911585" w:rsidRPr="00C04639" w:rsidRDefault="008831B5" w:rsidP="008E2D46">
      <w:pPr>
        <w:pStyle w:val="Listeavsnitt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C04639">
        <w:rPr>
          <w:u w:val="single"/>
          <w:lang w:val="en-US"/>
        </w:rPr>
        <w:t>All</w:t>
      </w:r>
      <w:r w:rsidRPr="00C04639">
        <w:rPr>
          <w:lang w:val="en-US"/>
        </w:rPr>
        <w:t xml:space="preserve"> </w:t>
      </w:r>
      <w:r w:rsidR="007C2B1A" w:rsidRPr="00C04639">
        <w:rPr>
          <w:lang w:val="en-US"/>
        </w:rPr>
        <w:t xml:space="preserve">laboratories must perform </w:t>
      </w:r>
      <w:r w:rsidR="00CC70F7" w:rsidRPr="00C04639">
        <w:rPr>
          <w:lang w:val="en-US"/>
        </w:rPr>
        <w:t xml:space="preserve">antimicrobial susceptibility </w:t>
      </w:r>
      <w:r w:rsidR="00055DF7" w:rsidRPr="00C04639">
        <w:rPr>
          <w:lang w:val="en-US"/>
        </w:rPr>
        <w:t xml:space="preserve">testing </w:t>
      </w:r>
      <w:r w:rsidR="00B96776" w:rsidRPr="00C04639">
        <w:rPr>
          <w:lang w:val="en-US"/>
        </w:rPr>
        <w:t xml:space="preserve">of all </w:t>
      </w:r>
      <w:r w:rsidR="001406C0" w:rsidRPr="00C04639">
        <w:rPr>
          <w:lang w:val="en-US"/>
        </w:rPr>
        <w:t xml:space="preserve">strains </w:t>
      </w:r>
      <w:r w:rsidR="00055DF7" w:rsidRPr="00C04639">
        <w:rPr>
          <w:lang w:val="en-US"/>
        </w:rPr>
        <w:t xml:space="preserve">by the disk diffusion method as recommended by EUCAST </w:t>
      </w:r>
      <w:r w:rsidR="00CC70F7" w:rsidRPr="00C04639">
        <w:rPr>
          <w:lang w:val="en-US"/>
        </w:rPr>
        <w:t xml:space="preserve">using </w:t>
      </w:r>
      <w:r w:rsidR="00F03DC4" w:rsidRPr="00C04639">
        <w:rPr>
          <w:lang w:val="en-US"/>
        </w:rPr>
        <w:t xml:space="preserve">the following </w:t>
      </w:r>
      <w:r w:rsidR="00CC70F7" w:rsidRPr="00C04639">
        <w:rPr>
          <w:lang w:val="en-US"/>
        </w:rPr>
        <w:t>panel of antibiotic</w:t>
      </w:r>
      <w:r w:rsidR="00F90071" w:rsidRPr="00C04639">
        <w:rPr>
          <w:lang w:val="en-US"/>
        </w:rPr>
        <w:t xml:space="preserve"> discs</w:t>
      </w:r>
      <w:r w:rsidR="00F03DC4" w:rsidRPr="00C04639">
        <w:rPr>
          <w:lang w:val="en-US"/>
        </w:rPr>
        <w:t>:</w:t>
      </w:r>
      <w:r w:rsidR="007530A5" w:rsidRPr="00C04639">
        <w:rPr>
          <w:lang w:val="en-US"/>
        </w:rPr>
        <w:t xml:space="preserve"> </w:t>
      </w:r>
      <w:r w:rsidR="00343696" w:rsidRPr="00C04639">
        <w:rPr>
          <w:lang w:val="en-US"/>
        </w:rPr>
        <w:t>linezolid</w:t>
      </w:r>
      <w:r w:rsidR="007530A5" w:rsidRPr="00C04639">
        <w:rPr>
          <w:lang w:val="en-US"/>
        </w:rPr>
        <w:t xml:space="preserve"> </w:t>
      </w:r>
      <w:r w:rsidR="00F03DC4" w:rsidRPr="00C04639">
        <w:rPr>
          <w:lang w:val="en-US"/>
        </w:rPr>
        <w:t>(</w:t>
      </w:r>
      <w:r w:rsidR="00343696" w:rsidRPr="00C04639">
        <w:rPr>
          <w:lang w:val="en-US"/>
        </w:rPr>
        <w:t>10</w:t>
      </w:r>
      <w:r w:rsidR="008E2D46" w:rsidRPr="00C04639">
        <w:rPr>
          <w:lang w:val="en-US"/>
        </w:rPr>
        <w:t xml:space="preserve"> </w:t>
      </w:r>
      <w:r w:rsidR="007530A5" w:rsidRPr="00C04639">
        <w:rPr>
          <w:lang w:val="en-US"/>
        </w:rPr>
        <w:t>µg</w:t>
      </w:r>
      <w:r w:rsidR="00F03DC4" w:rsidRPr="00C04639">
        <w:rPr>
          <w:lang w:val="en-US"/>
        </w:rPr>
        <w:t>)</w:t>
      </w:r>
      <w:r w:rsidR="0016653F" w:rsidRPr="00EF12C8">
        <w:rPr>
          <w:lang w:val="en-US"/>
        </w:rPr>
        <w:t xml:space="preserve">, </w:t>
      </w:r>
      <w:r w:rsidR="00343696" w:rsidRPr="00C04639">
        <w:rPr>
          <w:lang w:val="en-US"/>
        </w:rPr>
        <w:t xml:space="preserve">tigecycline </w:t>
      </w:r>
      <w:r w:rsidR="00F03DC4" w:rsidRPr="00C04639">
        <w:rPr>
          <w:lang w:val="en-US"/>
        </w:rPr>
        <w:t>(</w:t>
      </w:r>
      <w:bookmarkStart w:id="2" w:name="_Hlk120639944"/>
      <w:r w:rsidR="00343696" w:rsidRPr="00C04639">
        <w:rPr>
          <w:lang w:val="en-US"/>
        </w:rPr>
        <w:t>15</w:t>
      </w:r>
      <w:r w:rsidR="008E2D46" w:rsidRPr="00C04639">
        <w:rPr>
          <w:lang w:val="en-US"/>
        </w:rPr>
        <w:t xml:space="preserve"> </w:t>
      </w:r>
      <w:r w:rsidR="007530A5" w:rsidRPr="00C04639">
        <w:rPr>
          <w:lang w:val="en-US"/>
        </w:rPr>
        <w:t>µg</w:t>
      </w:r>
      <w:bookmarkEnd w:id="2"/>
      <w:r w:rsidR="00F03DC4" w:rsidRPr="00C04639">
        <w:rPr>
          <w:lang w:val="en-US"/>
        </w:rPr>
        <w:t>)</w:t>
      </w:r>
      <w:r w:rsidR="0016653F" w:rsidRPr="00C04639">
        <w:rPr>
          <w:lang w:val="en-US"/>
        </w:rPr>
        <w:t xml:space="preserve"> and gentamicin (30 µg)</w:t>
      </w:r>
      <w:r w:rsidR="00F83227" w:rsidRPr="00C04639">
        <w:rPr>
          <w:lang w:val="en-US"/>
        </w:rPr>
        <w:t xml:space="preserve">. </w:t>
      </w:r>
    </w:p>
    <w:p w14:paraId="00E9C8B3" w14:textId="401DA182" w:rsidR="00911585" w:rsidRPr="00C04639" w:rsidRDefault="004C4F57" w:rsidP="008E2D46">
      <w:pPr>
        <w:pStyle w:val="Listeavsnitt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C04639">
        <w:rPr>
          <w:u w:val="single"/>
          <w:lang w:val="en-US"/>
        </w:rPr>
        <w:t>All</w:t>
      </w:r>
      <w:r w:rsidRPr="00C04639">
        <w:rPr>
          <w:lang w:val="en-US"/>
        </w:rPr>
        <w:t xml:space="preserve"> </w:t>
      </w:r>
      <w:r w:rsidR="00AC1782" w:rsidRPr="00C04639">
        <w:rPr>
          <w:lang w:val="en-US"/>
        </w:rPr>
        <w:t xml:space="preserve">laboratories </w:t>
      </w:r>
      <w:r w:rsidR="006576CE" w:rsidRPr="00C04639">
        <w:rPr>
          <w:lang w:val="en-US"/>
        </w:rPr>
        <w:t>must</w:t>
      </w:r>
      <w:r w:rsidR="00AC1782" w:rsidRPr="00C04639">
        <w:rPr>
          <w:lang w:val="en-US"/>
        </w:rPr>
        <w:t xml:space="preserve"> perform a </w:t>
      </w:r>
      <w:r w:rsidR="00343696" w:rsidRPr="00C04639">
        <w:rPr>
          <w:lang w:val="en-US"/>
        </w:rPr>
        <w:t xml:space="preserve">linezolid and tigecycline </w:t>
      </w:r>
      <w:r w:rsidR="00AC1782" w:rsidRPr="00C04639">
        <w:rPr>
          <w:lang w:val="en-US"/>
        </w:rPr>
        <w:t xml:space="preserve">MIC-determination using </w:t>
      </w:r>
      <w:r w:rsidR="00A60E67" w:rsidRPr="00C04639">
        <w:rPr>
          <w:lang w:val="en-US"/>
        </w:rPr>
        <w:t xml:space="preserve">microbroth dilution or </w:t>
      </w:r>
      <w:r w:rsidR="00AC1782" w:rsidRPr="00C04639">
        <w:rPr>
          <w:lang w:val="en-US"/>
        </w:rPr>
        <w:t xml:space="preserve">a </w:t>
      </w:r>
      <w:r w:rsidR="008E2D46" w:rsidRPr="00C04639">
        <w:rPr>
          <w:lang w:val="en-US"/>
        </w:rPr>
        <w:t xml:space="preserve">MIC </w:t>
      </w:r>
      <w:r w:rsidR="00AC1782" w:rsidRPr="00C04639">
        <w:rPr>
          <w:lang w:val="en-US"/>
        </w:rPr>
        <w:t xml:space="preserve">gradient strip </w:t>
      </w:r>
      <w:r w:rsidR="00A60E67" w:rsidRPr="00C04639">
        <w:rPr>
          <w:lang w:val="en-US"/>
        </w:rPr>
        <w:t xml:space="preserve">test </w:t>
      </w:r>
      <w:r w:rsidR="00AC1782" w:rsidRPr="00C04639">
        <w:rPr>
          <w:lang w:val="en-US"/>
        </w:rPr>
        <w:t xml:space="preserve">according to the manufacturer’s instructions on </w:t>
      </w:r>
      <w:r w:rsidR="006576CE" w:rsidRPr="00C04639">
        <w:rPr>
          <w:u w:val="single"/>
          <w:lang w:val="en-US"/>
        </w:rPr>
        <w:t>all</w:t>
      </w:r>
      <w:r w:rsidR="006576CE" w:rsidRPr="00C04639">
        <w:rPr>
          <w:lang w:val="en-US"/>
        </w:rPr>
        <w:t xml:space="preserve"> </w:t>
      </w:r>
      <w:r w:rsidR="00AC1782" w:rsidRPr="00C04639">
        <w:rPr>
          <w:lang w:val="en-US"/>
        </w:rPr>
        <w:t xml:space="preserve">strains. </w:t>
      </w:r>
      <w:r w:rsidR="00CC70F7" w:rsidRPr="00C04639">
        <w:rPr>
          <w:lang w:val="en-US"/>
        </w:rPr>
        <w:t xml:space="preserve"> </w:t>
      </w:r>
    </w:p>
    <w:p w14:paraId="23C539F8" w14:textId="3B0780A1" w:rsidR="006576CE" w:rsidRPr="00C04639" w:rsidRDefault="00911585" w:rsidP="008E2D46">
      <w:pPr>
        <w:pStyle w:val="Listeavsnitt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C04639">
        <w:rPr>
          <w:u w:val="single"/>
          <w:lang w:val="en-US"/>
        </w:rPr>
        <w:t>All</w:t>
      </w:r>
      <w:r w:rsidRPr="00C04639">
        <w:rPr>
          <w:lang w:val="en-US"/>
        </w:rPr>
        <w:t xml:space="preserve"> laboratories must report m</w:t>
      </w:r>
      <w:r w:rsidR="008E2D46" w:rsidRPr="00C04639">
        <w:rPr>
          <w:lang w:val="en-US"/>
        </w:rPr>
        <w:t xml:space="preserve">anufacturer </w:t>
      </w:r>
      <w:r w:rsidR="004E1F1F" w:rsidRPr="00C04639">
        <w:rPr>
          <w:lang w:val="en-US"/>
        </w:rPr>
        <w:t xml:space="preserve">and lot number </w:t>
      </w:r>
      <w:r w:rsidR="008E2D46" w:rsidRPr="00C04639">
        <w:rPr>
          <w:lang w:val="en-US"/>
        </w:rPr>
        <w:t xml:space="preserve">of </w:t>
      </w:r>
      <w:r w:rsidR="00A020D7" w:rsidRPr="00C04639">
        <w:rPr>
          <w:lang w:val="en-US"/>
        </w:rPr>
        <w:t>antimicrobial susceptibility testing material</w:t>
      </w:r>
      <w:r w:rsidR="005A202D" w:rsidRPr="00C04639">
        <w:rPr>
          <w:lang w:val="en-US"/>
        </w:rPr>
        <w:t>. T</w:t>
      </w:r>
      <w:r w:rsidR="008E2D46" w:rsidRPr="00C04639">
        <w:rPr>
          <w:lang w:val="en-US"/>
        </w:rPr>
        <w:t xml:space="preserve">he EUCAST laboratory in </w:t>
      </w:r>
      <w:proofErr w:type="spellStart"/>
      <w:r w:rsidR="008E2D46" w:rsidRPr="00C04639">
        <w:rPr>
          <w:lang w:val="en-US"/>
        </w:rPr>
        <w:t>Växjö</w:t>
      </w:r>
      <w:proofErr w:type="spellEnd"/>
      <w:r w:rsidR="008E2D46" w:rsidRPr="00C04639">
        <w:rPr>
          <w:lang w:val="en-US"/>
        </w:rPr>
        <w:t xml:space="preserve"> will perform an extended quality control of </w:t>
      </w:r>
      <w:r w:rsidR="00F03DC4" w:rsidRPr="00C04639">
        <w:rPr>
          <w:lang w:val="en-US"/>
        </w:rPr>
        <w:t xml:space="preserve">broth, MH </w:t>
      </w:r>
      <w:r w:rsidR="008E2D46" w:rsidRPr="00C04639">
        <w:rPr>
          <w:lang w:val="en-US"/>
        </w:rPr>
        <w:t>agar</w:t>
      </w:r>
      <w:r w:rsidR="00F03DC4" w:rsidRPr="00C04639">
        <w:rPr>
          <w:lang w:val="en-US"/>
        </w:rPr>
        <w:t>,</w:t>
      </w:r>
      <w:r w:rsidR="00A422AF" w:rsidRPr="00C04639">
        <w:rPr>
          <w:lang w:val="en-US"/>
        </w:rPr>
        <w:t xml:space="preserve"> </w:t>
      </w:r>
      <w:r w:rsidR="00F03DC4" w:rsidRPr="00C04639">
        <w:rPr>
          <w:lang w:val="en-US"/>
        </w:rPr>
        <w:t xml:space="preserve">MH </w:t>
      </w:r>
      <w:r w:rsidR="008E2D46" w:rsidRPr="00C04639">
        <w:rPr>
          <w:lang w:val="en-US"/>
        </w:rPr>
        <w:t>broth</w:t>
      </w:r>
      <w:r w:rsidR="00F03DC4" w:rsidRPr="00C04639">
        <w:rPr>
          <w:lang w:val="en-US"/>
        </w:rPr>
        <w:t>,</w:t>
      </w:r>
      <w:r w:rsidR="008E2D46" w:rsidRPr="00C04639">
        <w:rPr>
          <w:lang w:val="en-US"/>
        </w:rPr>
        <w:t xml:space="preserve"> MIC gradient tests</w:t>
      </w:r>
      <w:r w:rsidR="00F03DC4" w:rsidRPr="00C04639">
        <w:rPr>
          <w:lang w:val="en-US"/>
        </w:rPr>
        <w:t xml:space="preserve"> and </w:t>
      </w:r>
      <w:r w:rsidRPr="00C04639">
        <w:rPr>
          <w:lang w:val="en-US"/>
        </w:rPr>
        <w:t>disc</w:t>
      </w:r>
      <w:r w:rsidR="00070AA6" w:rsidRPr="00C04639">
        <w:rPr>
          <w:lang w:val="en-US"/>
        </w:rPr>
        <w:t>s</w:t>
      </w:r>
      <w:r w:rsidR="008E2D46" w:rsidRPr="00C04639">
        <w:rPr>
          <w:lang w:val="en-US"/>
        </w:rPr>
        <w:t xml:space="preserve"> from relevant manufacturers. </w:t>
      </w:r>
    </w:p>
    <w:p w14:paraId="604DA8BF" w14:textId="22D2B6DD" w:rsidR="006576CE" w:rsidRPr="00C04639" w:rsidRDefault="00FE104B" w:rsidP="008E2D46">
      <w:pPr>
        <w:pStyle w:val="Listeavsnitt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C04639">
        <w:rPr>
          <w:u w:val="single"/>
          <w:lang w:val="en-US"/>
        </w:rPr>
        <w:t>All</w:t>
      </w:r>
      <w:r w:rsidRPr="00C04639">
        <w:rPr>
          <w:lang w:val="en-US"/>
        </w:rPr>
        <w:t xml:space="preserve"> l</w:t>
      </w:r>
      <w:r w:rsidR="006576CE" w:rsidRPr="00C04639">
        <w:rPr>
          <w:lang w:val="en-US"/>
        </w:rPr>
        <w:t>aboratories that routinely use a</w:t>
      </w:r>
      <w:r w:rsidR="000C0F29" w:rsidRPr="00C04639">
        <w:rPr>
          <w:lang w:val="en-US"/>
        </w:rPr>
        <w:t xml:space="preserve"> semi-automated</w:t>
      </w:r>
      <w:r w:rsidR="006576CE" w:rsidRPr="00C04639">
        <w:rPr>
          <w:lang w:val="en-US"/>
        </w:rPr>
        <w:t xml:space="preserve"> AST device </w:t>
      </w:r>
      <w:r w:rsidR="005F7D38" w:rsidRPr="00C04639">
        <w:rPr>
          <w:lang w:val="en-US"/>
        </w:rPr>
        <w:t xml:space="preserve">for enterococci </w:t>
      </w:r>
      <w:r w:rsidR="006576CE" w:rsidRPr="00C04639">
        <w:rPr>
          <w:lang w:val="en-US"/>
        </w:rPr>
        <w:t xml:space="preserve">must perform </w:t>
      </w:r>
      <w:r w:rsidR="001406C0" w:rsidRPr="00C04639">
        <w:rPr>
          <w:lang w:val="en-US"/>
        </w:rPr>
        <w:t xml:space="preserve">AST </w:t>
      </w:r>
      <w:r w:rsidR="006576CE" w:rsidRPr="00C04639">
        <w:rPr>
          <w:lang w:val="en-US"/>
        </w:rPr>
        <w:t>according to the instructions of the manufacturer and report the result</w:t>
      </w:r>
      <w:r w:rsidR="001406C0" w:rsidRPr="00C04639">
        <w:rPr>
          <w:lang w:val="en-US"/>
        </w:rPr>
        <w:t xml:space="preserve"> for </w:t>
      </w:r>
      <w:r w:rsidR="00343696" w:rsidRPr="00C04639">
        <w:rPr>
          <w:lang w:val="en-US"/>
        </w:rPr>
        <w:t xml:space="preserve">linezolid and tigecycline if </w:t>
      </w:r>
      <w:r w:rsidR="001406C0" w:rsidRPr="00C04639">
        <w:rPr>
          <w:lang w:val="en-US"/>
        </w:rPr>
        <w:t>included in the AST panel</w:t>
      </w:r>
      <w:r w:rsidR="005F7D38" w:rsidRPr="00C04639">
        <w:rPr>
          <w:lang w:val="en-US"/>
        </w:rPr>
        <w:t xml:space="preserve"> for all strains</w:t>
      </w:r>
      <w:r w:rsidR="006576CE" w:rsidRPr="00C04639">
        <w:rPr>
          <w:lang w:val="en-US"/>
        </w:rPr>
        <w:t>.</w:t>
      </w:r>
      <w:r w:rsidR="00B86D3A" w:rsidRPr="00C04639">
        <w:rPr>
          <w:lang w:val="en-US"/>
        </w:rPr>
        <w:t xml:space="preserve"> If the AST s</w:t>
      </w:r>
      <w:r w:rsidR="001406C0" w:rsidRPr="00C04639">
        <w:rPr>
          <w:lang w:val="en-US"/>
        </w:rPr>
        <w:t>ystem</w:t>
      </w:r>
      <w:r w:rsidR="00B86D3A" w:rsidRPr="00C04639">
        <w:rPr>
          <w:lang w:val="en-US"/>
        </w:rPr>
        <w:t xml:space="preserve"> provides an interpretation</w:t>
      </w:r>
      <w:r w:rsidR="001406C0" w:rsidRPr="00C04639">
        <w:rPr>
          <w:lang w:val="en-US"/>
        </w:rPr>
        <w:t xml:space="preserve"> (e.g. expert interpretation)</w:t>
      </w:r>
      <w:r w:rsidR="00B86D3A" w:rsidRPr="00C04639">
        <w:rPr>
          <w:lang w:val="en-US"/>
        </w:rPr>
        <w:t xml:space="preserve"> regarding resistance mechanisms this should also be reported</w:t>
      </w:r>
      <w:r w:rsidR="002A213D" w:rsidRPr="00C04639">
        <w:rPr>
          <w:lang w:val="en-US"/>
        </w:rPr>
        <w:t xml:space="preserve">. </w:t>
      </w:r>
      <w:r w:rsidR="008E2D46" w:rsidRPr="00C04639">
        <w:rPr>
          <w:lang w:val="en-US"/>
        </w:rPr>
        <w:t>Manufacturer</w:t>
      </w:r>
      <w:r w:rsidR="002A213D" w:rsidRPr="00C04639">
        <w:rPr>
          <w:lang w:val="en-US"/>
        </w:rPr>
        <w:t>, type</w:t>
      </w:r>
      <w:r w:rsidR="008E2D46" w:rsidRPr="00C04639">
        <w:rPr>
          <w:lang w:val="en-US"/>
        </w:rPr>
        <w:t xml:space="preserve"> of AST plates/cassettes</w:t>
      </w:r>
      <w:r w:rsidR="00526AC3" w:rsidRPr="00C04639">
        <w:rPr>
          <w:lang w:val="en-US"/>
        </w:rPr>
        <w:t>/panels</w:t>
      </w:r>
      <w:r w:rsidR="008E2D46" w:rsidRPr="00C04639">
        <w:rPr>
          <w:lang w:val="en-US"/>
        </w:rPr>
        <w:t xml:space="preserve"> must be reported. </w:t>
      </w:r>
    </w:p>
    <w:p w14:paraId="7F0E1106" w14:textId="566551C7" w:rsidR="0022385C" w:rsidRPr="00AE6FA9" w:rsidRDefault="0022385C" w:rsidP="0022385C">
      <w:pPr>
        <w:pStyle w:val="Listeavsnitt"/>
        <w:numPr>
          <w:ilvl w:val="0"/>
          <w:numId w:val="6"/>
        </w:numPr>
        <w:spacing w:line="276" w:lineRule="auto"/>
        <w:jc w:val="both"/>
        <w:rPr>
          <w:lang w:val="en-US"/>
        </w:rPr>
      </w:pPr>
      <w:r>
        <w:rPr>
          <w:lang w:val="en-US"/>
        </w:rPr>
        <w:t>All</w:t>
      </w:r>
      <w:r w:rsidRPr="00AE6FA9">
        <w:rPr>
          <w:lang w:val="en-US"/>
        </w:rPr>
        <w:t xml:space="preserve"> laborator</w:t>
      </w:r>
      <w:r>
        <w:rPr>
          <w:lang w:val="en-US"/>
        </w:rPr>
        <w:t>ies</w:t>
      </w:r>
      <w:r w:rsidRPr="00AE6FA9">
        <w:rPr>
          <w:lang w:val="en-US"/>
        </w:rPr>
        <w:t xml:space="preserve"> should include the EUCAST recommended enterococcal quality control </w:t>
      </w:r>
      <w:r>
        <w:rPr>
          <w:lang w:val="en-US"/>
        </w:rPr>
        <w:t xml:space="preserve">(QC) </w:t>
      </w:r>
      <w:r w:rsidRPr="00AE6FA9">
        <w:rPr>
          <w:lang w:val="en-US"/>
        </w:rPr>
        <w:t xml:space="preserve">strain </w:t>
      </w:r>
      <w:r w:rsidRPr="00AE6FA9">
        <w:rPr>
          <w:i/>
          <w:lang w:val="en-US"/>
        </w:rPr>
        <w:t>Enterococcus faecalis</w:t>
      </w:r>
      <w:r w:rsidRPr="00AE6FA9">
        <w:rPr>
          <w:lang w:val="en-US"/>
        </w:rPr>
        <w:t xml:space="preserve"> ATCC 29212 </w:t>
      </w:r>
      <w:r>
        <w:rPr>
          <w:lang w:val="en-US"/>
        </w:rPr>
        <w:t>in all methods performed.</w:t>
      </w:r>
    </w:p>
    <w:p w14:paraId="1E4FA1EF" w14:textId="4CC7BD09" w:rsidR="000546B1" w:rsidRDefault="000546B1" w:rsidP="008E2D46">
      <w:pPr>
        <w:pStyle w:val="Listeavsnitt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C04639">
        <w:rPr>
          <w:u w:val="single"/>
          <w:lang w:val="en-US"/>
        </w:rPr>
        <w:t>All</w:t>
      </w:r>
      <w:r w:rsidR="00A94459" w:rsidRPr="00C04639">
        <w:rPr>
          <w:lang w:val="en-US"/>
        </w:rPr>
        <w:t xml:space="preserve"> results </w:t>
      </w:r>
      <w:r w:rsidR="0022385C">
        <w:rPr>
          <w:lang w:val="en-US"/>
        </w:rPr>
        <w:t xml:space="preserve">including QC-data </w:t>
      </w:r>
      <w:r w:rsidR="00A94459" w:rsidRPr="00C04639">
        <w:rPr>
          <w:lang w:val="en-US"/>
        </w:rPr>
        <w:t xml:space="preserve">must be reported </w:t>
      </w:r>
      <w:r w:rsidRPr="00C04639">
        <w:rPr>
          <w:lang w:val="en-US"/>
        </w:rPr>
        <w:t>in the enclosed excel sheet.</w:t>
      </w:r>
    </w:p>
    <w:p w14:paraId="23597213" w14:textId="77777777" w:rsidR="00AE6FA9" w:rsidRPr="00C04639" w:rsidRDefault="00AE6FA9" w:rsidP="00F73193">
      <w:pPr>
        <w:pStyle w:val="Listeavsnitt"/>
        <w:spacing w:line="276" w:lineRule="auto"/>
        <w:ind w:left="1080"/>
        <w:jc w:val="both"/>
        <w:rPr>
          <w:lang w:val="en-US"/>
        </w:rPr>
      </w:pPr>
    </w:p>
    <w:p w14:paraId="70041740" w14:textId="77777777" w:rsidR="006576CE" w:rsidRPr="00C04639" w:rsidRDefault="006576CE" w:rsidP="00A10FAD">
      <w:pPr>
        <w:spacing w:line="276" w:lineRule="auto"/>
        <w:ind w:left="360"/>
        <w:jc w:val="left"/>
        <w:rPr>
          <w:lang w:val="en-US"/>
        </w:rPr>
      </w:pPr>
    </w:p>
    <w:p w14:paraId="3C9C42B8" w14:textId="77777777" w:rsidR="00A27900" w:rsidRPr="00C04639" w:rsidRDefault="00A27900" w:rsidP="00A93B22">
      <w:pPr>
        <w:spacing w:line="276" w:lineRule="auto"/>
        <w:jc w:val="left"/>
        <w:rPr>
          <w:lang w:val="en-US"/>
        </w:rPr>
      </w:pPr>
    </w:p>
    <w:p w14:paraId="2834512C" w14:textId="3A01D73D" w:rsidR="009613E0" w:rsidRPr="00C04639" w:rsidRDefault="00437E70">
      <w:pPr>
        <w:spacing w:line="276" w:lineRule="auto"/>
        <w:jc w:val="both"/>
        <w:rPr>
          <w:b/>
          <w:lang w:val="en-US"/>
        </w:rPr>
      </w:pPr>
      <w:r w:rsidRPr="00C04639">
        <w:rPr>
          <w:b/>
          <w:lang w:val="en-US"/>
        </w:rPr>
        <w:t xml:space="preserve">The laboratories participating in the study should not perform any </w:t>
      </w:r>
      <w:r w:rsidR="00132FF4" w:rsidRPr="00C04639">
        <w:rPr>
          <w:b/>
          <w:lang w:val="en-US"/>
        </w:rPr>
        <w:t xml:space="preserve">genotypic </w:t>
      </w:r>
      <w:r w:rsidR="00FA1069" w:rsidRPr="00C04639">
        <w:rPr>
          <w:b/>
          <w:lang w:val="en-US"/>
        </w:rPr>
        <w:t xml:space="preserve">confirmative testing </w:t>
      </w:r>
      <w:r w:rsidRPr="00C04639">
        <w:rPr>
          <w:b/>
          <w:lang w:val="en-US"/>
        </w:rPr>
        <w:t xml:space="preserve">as the strains </w:t>
      </w:r>
      <w:r w:rsidR="00122971" w:rsidRPr="00C04639">
        <w:rPr>
          <w:b/>
          <w:lang w:val="en-US"/>
        </w:rPr>
        <w:t>should</w:t>
      </w:r>
      <w:r w:rsidR="00055DF7" w:rsidRPr="00C04639">
        <w:rPr>
          <w:b/>
          <w:lang w:val="en-US"/>
        </w:rPr>
        <w:t xml:space="preserve"> </w:t>
      </w:r>
      <w:r w:rsidRPr="00C04639">
        <w:rPr>
          <w:b/>
          <w:lang w:val="en-US"/>
        </w:rPr>
        <w:t>be examined in a blinded, non-biased approach.</w:t>
      </w:r>
      <w:r w:rsidR="00C877B9" w:rsidRPr="00C04639">
        <w:rPr>
          <w:b/>
          <w:lang w:val="en-US"/>
        </w:rPr>
        <w:t xml:space="preserve"> </w:t>
      </w:r>
      <w:r w:rsidR="00A020D7" w:rsidRPr="00C04639">
        <w:rPr>
          <w:b/>
          <w:lang w:val="en-US"/>
        </w:rPr>
        <w:t>T</w:t>
      </w:r>
      <w:r w:rsidR="002A213D" w:rsidRPr="00C04639">
        <w:rPr>
          <w:b/>
          <w:lang w:val="en-US"/>
        </w:rPr>
        <w:t xml:space="preserve">he strains should </w:t>
      </w:r>
      <w:r w:rsidR="00122971" w:rsidRPr="00C04639">
        <w:rPr>
          <w:b/>
          <w:lang w:val="en-US"/>
        </w:rPr>
        <w:t xml:space="preserve">ideally </w:t>
      </w:r>
      <w:r w:rsidR="002A213D" w:rsidRPr="00C04639">
        <w:rPr>
          <w:b/>
          <w:lang w:val="en-US"/>
        </w:rPr>
        <w:t>be analyzed as part of the routine diagnostic services, and not separately by very</w:t>
      </w:r>
      <w:r w:rsidR="004755E2" w:rsidRPr="00C04639">
        <w:rPr>
          <w:b/>
          <w:lang w:val="en-US"/>
        </w:rPr>
        <w:t xml:space="preserve"> experienced staff in antimicrobial</w:t>
      </w:r>
      <w:r w:rsidR="002A213D" w:rsidRPr="00C04639">
        <w:rPr>
          <w:b/>
          <w:lang w:val="en-US"/>
        </w:rPr>
        <w:t xml:space="preserve"> susceptibility testing.</w:t>
      </w:r>
      <w:r w:rsidR="00122971" w:rsidRPr="00C04639">
        <w:rPr>
          <w:b/>
          <w:lang w:val="en-US"/>
        </w:rPr>
        <w:t xml:space="preserve"> </w:t>
      </w:r>
    </w:p>
    <w:p w14:paraId="7A1AD980" w14:textId="77777777" w:rsidR="009613E0" w:rsidRPr="00C04639" w:rsidRDefault="009613E0" w:rsidP="00504210">
      <w:pPr>
        <w:spacing w:line="276" w:lineRule="auto"/>
        <w:jc w:val="both"/>
        <w:rPr>
          <w:lang w:val="en-US"/>
        </w:rPr>
      </w:pPr>
    </w:p>
    <w:p w14:paraId="7316FF81" w14:textId="04E96EA4" w:rsidR="008831B5" w:rsidRPr="00C04639" w:rsidRDefault="00437E70" w:rsidP="008E2D46">
      <w:pPr>
        <w:spacing w:line="276" w:lineRule="auto"/>
        <w:jc w:val="both"/>
        <w:rPr>
          <w:lang w:val="en-US"/>
        </w:rPr>
      </w:pPr>
      <w:r w:rsidRPr="00C04639">
        <w:rPr>
          <w:b/>
          <w:lang w:val="en-US"/>
        </w:rPr>
        <w:t xml:space="preserve">Reporting </w:t>
      </w:r>
      <w:r w:rsidR="004721E2" w:rsidRPr="00C04639">
        <w:rPr>
          <w:b/>
          <w:lang w:val="en-US"/>
        </w:rPr>
        <w:t xml:space="preserve">of </w:t>
      </w:r>
      <w:r w:rsidRPr="00C04639">
        <w:rPr>
          <w:b/>
          <w:lang w:val="en-US"/>
        </w:rPr>
        <w:t>results.</w:t>
      </w:r>
      <w:r w:rsidRPr="00C04639">
        <w:rPr>
          <w:lang w:val="en-US"/>
        </w:rPr>
        <w:t xml:space="preserve"> </w:t>
      </w:r>
      <w:r w:rsidR="00122971" w:rsidRPr="00C04639">
        <w:rPr>
          <w:lang w:val="en-US"/>
        </w:rPr>
        <w:t>L</w:t>
      </w:r>
      <w:r w:rsidR="00E5255E" w:rsidRPr="00C04639">
        <w:rPr>
          <w:lang w:val="en-US"/>
        </w:rPr>
        <w:t>aborator</w:t>
      </w:r>
      <w:r w:rsidR="00122971" w:rsidRPr="00C04639">
        <w:rPr>
          <w:lang w:val="en-US"/>
        </w:rPr>
        <w:t>ies</w:t>
      </w:r>
      <w:r w:rsidR="00E5255E" w:rsidRPr="00C04639">
        <w:rPr>
          <w:lang w:val="en-US"/>
        </w:rPr>
        <w:t xml:space="preserve"> report</w:t>
      </w:r>
      <w:r w:rsidR="00122971" w:rsidRPr="00C04639">
        <w:rPr>
          <w:lang w:val="en-US"/>
        </w:rPr>
        <w:t xml:space="preserve"> their findings in the</w:t>
      </w:r>
      <w:r w:rsidR="00E5255E" w:rsidRPr="00C04639">
        <w:rPr>
          <w:lang w:val="en-US"/>
        </w:rPr>
        <w:t xml:space="preserve"> </w:t>
      </w:r>
      <w:r w:rsidR="00885093" w:rsidRPr="00C04639">
        <w:rPr>
          <w:lang w:val="en-US"/>
        </w:rPr>
        <w:t>excel-</w:t>
      </w:r>
      <w:r w:rsidR="007D410B" w:rsidRPr="00C04639">
        <w:rPr>
          <w:lang w:val="en-US"/>
        </w:rPr>
        <w:t>file</w:t>
      </w:r>
      <w:r w:rsidR="00122971" w:rsidRPr="00C04639">
        <w:rPr>
          <w:lang w:val="en-US"/>
        </w:rPr>
        <w:t xml:space="preserve"> provided</w:t>
      </w:r>
      <w:r w:rsidR="007D410B" w:rsidRPr="00C04639">
        <w:rPr>
          <w:lang w:val="en-US"/>
        </w:rPr>
        <w:t xml:space="preserve">. </w:t>
      </w:r>
      <w:r w:rsidR="00122971" w:rsidRPr="00C04639">
        <w:rPr>
          <w:lang w:val="en-US"/>
        </w:rPr>
        <w:t>R</w:t>
      </w:r>
      <w:r w:rsidR="006240D6" w:rsidRPr="00C04639">
        <w:rPr>
          <w:lang w:val="en-US"/>
        </w:rPr>
        <w:t xml:space="preserve">esults should be interpreted </w:t>
      </w:r>
      <w:r w:rsidR="00055DF7" w:rsidRPr="00C04639">
        <w:rPr>
          <w:lang w:val="en-US"/>
        </w:rPr>
        <w:t xml:space="preserve">according to </w:t>
      </w:r>
      <w:proofErr w:type="spellStart"/>
      <w:r w:rsidR="00663299">
        <w:rPr>
          <w:lang w:val="en-US"/>
        </w:rPr>
        <w:t>NordicAST</w:t>
      </w:r>
      <w:proofErr w:type="spellEnd"/>
      <w:r w:rsidR="00663299" w:rsidRPr="00C04639">
        <w:rPr>
          <w:lang w:val="en-US"/>
        </w:rPr>
        <w:t xml:space="preserve"> </w:t>
      </w:r>
      <w:r w:rsidR="00F355D9" w:rsidRPr="00C04639">
        <w:rPr>
          <w:lang w:val="en-US"/>
        </w:rPr>
        <w:t>Breakpoint Tables v.13.0, 2023</w:t>
      </w:r>
      <w:r w:rsidR="00055DF7" w:rsidRPr="00C04639">
        <w:rPr>
          <w:lang w:val="en-US"/>
        </w:rPr>
        <w:t xml:space="preserve"> </w:t>
      </w:r>
      <w:r w:rsidR="00122971" w:rsidRPr="00C04639">
        <w:rPr>
          <w:lang w:val="en-US"/>
        </w:rPr>
        <w:t xml:space="preserve">For each of the 20 strains, the </w:t>
      </w:r>
      <w:r w:rsidR="00122971" w:rsidRPr="00C04639">
        <w:rPr>
          <w:lang w:val="en-US"/>
        </w:rPr>
        <w:lastRenderedPageBreak/>
        <w:t xml:space="preserve">laboratory should indicate whether, in a real situation, the finding would have been referred to a reference laboratory or not. </w:t>
      </w:r>
      <w:r w:rsidR="007B5FFE" w:rsidRPr="00C04639">
        <w:rPr>
          <w:lang w:val="en-US"/>
        </w:rPr>
        <w:t xml:space="preserve">Reference analysis results will be provided to each participating laboratory upon receipt of </w:t>
      </w:r>
      <w:r w:rsidR="00AE7790" w:rsidRPr="00C04639">
        <w:rPr>
          <w:lang w:val="en-US"/>
        </w:rPr>
        <w:t>results</w:t>
      </w:r>
      <w:r w:rsidR="007B5FFE" w:rsidRPr="00C04639">
        <w:rPr>
          <w:lang w:val="en-US"/>
        </w:rPr>
        <w:t>.</w:t>
      </w:r>
    </w:p>
    <w:p w14:paraId="5454E961" w14:textId="77777777" w:rsidR="006240D6" w:rsidRPr="00C04639" w:rsidRDefault="006240D6" w:rsidP="00A93B22">
      <w:pPr>
        <w:spacing w:line="276" w:lineRule="auto"/>
        <w:jc w:val="left"/>
        <w:rPr>
          <w:lang w:val="en-US"/>
        </w:rPr>
      </w:pPr>
    </w:p>
    <w:p w14:paraId="588A0F45" w14:textId="0A464274" w:rsidR="006240D6" w:rsidRPr="00C04639" w:rsidRDefault="006240D6" w:rsidP="008E2D46">
      <w:pPr>
        <w:spacing w:line="276" w:lineRule="auto"/>
        <w:jc w:val="both"/>
        <w:rPr>
          <w:lang w:val="en-US"/>
        </w:rPr>
      </w:pPr>
      <w:r w:rsidRPr="00C04639">
        <w:rPr>
          <w:b/>
          <w:lang w:val="en-US"/>
        </w:rPr>
        <w:t>Organization and publication.</w:t>
      </w:r>
      <w:r w:rsidRPr="00C04639">
        <w:rPr>
          <w:lang w:val="en-US"/>
        </w:rPr>
        <w:t xml:space="preserve"> The study originates from and</w:t>
      </w:r>
      <w:r w:rsidR="004D7E26" w:rsidRPr="00C04639">
        <w:rPr>
          <w:lang w:val="en-US"/>
        </w:rPr>
        <w:t xml:space="preserve"> </w:t>
      </w:r>
      <w:r w:rsidRPr="00C04639">
        <w:rPr>
          <w:lang w:val="en-US"/>
        </w:rPr>
        <w:t xml:space="preserve">is scientifically approved by the </w:t>
      </w:r>
      <w:proofErr w:type="spellStart"/>
      <w:r w:rsidRPr="00C04639">
        <w:rPr>
          <w:lang w:val="en-US"/>
        </w:rPr>
        <w:t>NordicAST</w:t>
      </w:r>
      <w:proofErr w:type="spellEnd"/>
      <w:r w:rsidRPr="00C04639">
        <w:rPr>
          <w:lang w:val="en-US"/>
        </w:rPr>
        <w:t xml:space="preserve"> committee. We</w:t>
      </w:r>
      <w:r w:rsidR="00A60E67" w:rsidRPr="00C04639">
        <w:rPr>
          <w:lang w:val="en-US"/>
        </w:rPr>
        <w:t xml:space="preserve"> will </w:t>
      </w:r>
      <w:r w:rsidR="004D7E26" w:rsidRPr="00C04639">
        <w:rPr>
          <w:lang w:val="en-US"/>
        </w:rPr>
        <w:t>form a study group</w:t>
      </w:r>
      <w:r w:rsidR="00536265" w:rsidRPr="00C04639">
        <w:rPr>
          <w:lang w:val="en-US"/>
        </w:rPr>
        <w:t xml:space="preserve"> (Nordic </w:t>
      </w:r>
      <w:r w:rsidR="00142FA7" w:rsidRPr="00C04639">
        <w:rPr>
          <w:lang w:val="en-US"/>
        </w:rPr>
        <w:t xml:space="preserve">LRE-TRE </w:t>
      </w:r>
      <w:r w:rsidR="00536265" w:rsidRPr="00C04639">
        <w:rPr>
          <w:lang w:val="en-US"/>
        </w:rPr>
        <w:t>study group)</w:t>
      </w:r>
      <w:r w:rsidR="004D7E26" w:rsidRPr="00C04639">
        <w:rPr>
          <w:lang w:val="en-US"/>
        </w:rPr>
        <w:t xml:space="preserve"> </w:t>
      </w:r>
      <w:r w:rsidR="00A60E67" w:rsidRPr="00C04639">
        <w:rPr>
          <w:lang w:val="en-US"/>
        </w:rPr>
        <w:t>consisting</w:t>
      </w:r>
      <w:r w:rsidRPr="00C04639">
        <w:rPr>
          <w:lang w:val="en-US"/>
        </w:rPr>
        <w:t xml:space="preserve"> of one person from each participating laboratory (the local laboratory supervisor) and a reference group. The reference group consists </w:t>
      </w:r>
      <w:r w:rsidR="00FD7BF3" w:rsidRPr="00C04639">
        <w:rPr>
          <w:lang w:val="en-US"/>
        </w:rPr>
        <w:t xml:space="preserve">of </w:t>
      </w:r>
      <w:r w:rsidR="00871949" w:rsidRPr="00C04639">
        <w:rPr>
          <w:i/>
          <w:iCs/>
          <w:lang w:val="en-US"/>
        </w:rPr>
        <w:t>Barbara</w:t>
      </w:r>
      <w:r w:rsidR="00C04639" w:rsidRPr="00C04639">
        <w:rPr>
          <w:i/>
          <w:iCs/>
          <w:lang w:val="en-US"/>
        </w:rPr>
        <w:t xml:space="preserve"> </w:t>
      </w:r>
      <w:proofErr w:type="spellStart"/>
      <w:r w:rsidR="00C04639" w:rsidRPr="00C04639">
        <w:rPr>
          <w:i/>
          <w:iCs/>
          <w:lang w:val="en-US"/>
        </w:rPr>
        <w:t>Holzknecht</w:t>
      </w:r>
      <w:proofErr w:type="spellEnd"/>
      <w:r w:rsidR="002A213D" w:rsidRPr="00C04639">
        <w:rPr>
          <w:lang w:val="en-US"/>
        </w:rPr>
        <w:t xml:space="preserve"> (</w:t>
      </w:r>
      <w:r w:rsidR="00C04639">
        <w:rPr>
          <w:lang w:val="en-US"/>
        </w:rPr>
        <w:t xml:space="preserve">BH; </w:t>
      </w:r>
      <w:r w:rsidR="002A213D" w:rsidRPr="00C04639">
        <w:rPr>
          <w:lang w:val="en-US"/>
        </w:rPr>
        <w:t>Denmark</w:t>
      </w:r>
      <w:r w:rsidRPr="00C04639">
        <w:rPr>
          <w:lang w:val="en-US"/>
        </w:rPr>
        <w:t xml:space="preserve">), </w:t>
      </w:r>
      <w:proofErr w:type="spellStart"/>
      <w:r w:rsidR="00871949" w:rsidRPr="00C04639">
        <w:rPr>
          <w:i/>
          <w:iCs/>
          <w:lang w:val="en-US"/>
        </w:rPr>
        <w:t>Heik</w:t>
      </w:r>
      <w:r w:rsidR="00C04639" w:rsidRPr="00C04639">
        <w:rPr>
          <w:i/>
          <w:iCs/>
          <w:lang w:val="en-US"/>
        </w:rPr>
        <w:t>k</w:t>
      </w:r>
      <w:r w:rsidR="00871949" w:rsidRPr="00C04639">
        <w:rPr>
          <w:i/>
          <w:iCs/>
          <w:lang w:val="en-US"/>
        </w:rPr>
        <w:t>i</w:t>
      </w:r>
      <w:proofErr w:type="spellEnd"/>
      <w:r w:rsidR="00A422AF" w:rsidRPr="00C04639">
        <w:rPr>
          <w:i/>
          <w:iCs/>
          <w:lang w:val="en-US"/>
        </w:rPr>
        <w:t xml:space="preserve"> </w:t>
      </w:r>
      <w:proofErr w:type="spellStart"/>
      <w:r w:rsidR="00C04639" w:rsidRPr="00C04639">
        <w:rPr>
          <w:i/>
          <w:iCs/>
          <w:lang w:val="en-US"/>
        </w:rPr>
        <w:t>Ilmavirta</w:t>
      </w:r>
      <w:proofErr w:type="spellEnd"/>
      <w:r w:rsidR="00F96900">
        <w:rPr>
          <w:i/>
          <w:iCs/>
          <w:lang w:val="en-US"/>
        </w:rPr>
        <w:t xml:space="preserve"> </w:t>
      </w:r>
      <w:r w:rsidR="0082015B" w:rsidRPr="00C04639">
        <w:rPr>
          <w:lang w:val="en-US"/>
        </w:rPr>
        <w:t>(</w:t>
      </w:r>
      <w:r w:rsidR="00C04639">
        <w:rPr>
          <w:lang w:val="en-US"/>
        </w:rPr>
        <w:t xml:space="preserve">HI; </w:t>
      </w:r>
      <w:r w:rsidR="008F01EE" w:rsidRPr="00C04639">
        <w:rPr>
          <w:lang w:val="en-US"/>
        </w:rPr>
        <w:t>Finland)</w:t>
      </w:r>
      <w:r w:rsidRPr="00C04639">
        <w:rPr>
          <w:lang w:val="en-US"/>
        </w:rPr>
        <w:t xml:space="preserve">, </w:t>
      </w:r>
      <w:r w:rsidRPr="00C04639">
        <w:rPr>
          <w:i/>
          <w:iCs/>
          <w:lang w:val="en-US"/>
        </w:rPr>
        <w:t xml:space="preserve">Gunnar </w:t>
      </w:r>
      <w:proofErr w:type="spellStart"/>
      <w:r w:rsidRPr="00C04639">
        <w:rPr>
          <w:i/>
          <w:iCs/>
          <w:lang w:val="en-US"/>
        </w:rPr>
        <w:t>Kahlmeter</w:t>
      </w:r>
      <w:proofErr w:type="spellEnd"/>
      <w:r w:rsidRPr="00C04639">
        <w:rPr>
          <w:lang w:val="en-US"/>
        </w:rPr>
        <w:t xml:space="preserve"> </w:t>
      </w:r>
      <w:r w:rsidR="00A60E67" w:rsidRPr="00C04639">
        <w:rPr>
          <w:lang w:val="en-US"/>
        </w:rPr>
        <w:t xml:space="preserve">and </w:t>
      </w:r>
      <w:r w:rsidR="00A60E67" w:rsidRPr="00C04639">
        <w:rPr>
          <w:i/>
          <w:iCs/>
          <w:lang w:val="en-US"/>
        </w:rPr>
        <w:t>Erika</w:t>
      </w:r>
      <w:r w:rsidR="00C04639" w:rsidRPr="00C04639">
        <w:rPr>
          <w:i/>
          <w:iCs/>
          <w:lang w:val="en-US"/>
        </w:rPr>
        <w:t xml:space="preserve"> </w:t>
      </w:r>
      <w:proofErr w:type="spellStart"/>
      <w:r w:rsidR="00C04639" w:rsidRPr="00C04639">
        <w:rPr>
          <w:i/>
          <w:iCs/>
          <w:lang w:val="en-US"/>
        </w:rPr>
        <w:t>Matuschek</w:t>
      </w:r>
      <w:proofErr w:type="spellEnd"/>
      <w:r w:rsidR="00A60E67" w:rsidRPr="00C04639">
        <w:rPr>
          <w:lang w:val="en-US"/>
        </w:rPr>
        <w:t xml:space="preserve"> </w:t>
      </w:r>
      <w:r w:rsidRPr="00C04639">
        <w:rPr>
          <w:lang w:val="en-US"/>
        </w:rPr>
        <w:t>(GK</w:t>
      </w:r>
      <w:r w:rsidR="00A60E67" w:rsidRPr="00C04639">
        <w:rPr>
          <w:lang w:val="en-US"/>
        </w:rPr>
        <w:t xml:space="preserve"> and EM</w:t>
      </w:r>
      <w:r w:rsidRPr="00C04639">
        <w:rPr>
          <w:lang w:val="en-US"/>
        </w:rPr>
        <w:t xml:space="preserve">; </w:t>
      </w:r>
      <w:r w:rsidR="000B3872" w:rsidRPr="00C04639">
        <w:rPr>
          <w:lang w:val="en-US"/>
        </w:rPr>
        <w:t xml:space="preserve">EDL, </w:t>
      </w:r>
      <w:proofErr w:type="spellStart"/>
      <w:r w:rsidRPr="00C04639">
        <w:rPr>
          <w:lang w:val="en-US"/>
        </w:rPr>
        <w:t>V</w:t>
      </w:r>
      <w:r w:rsidR="00536265" w:rsidRPr="00C04639">
        <w:rPr>
          <w:lang w:val="en-US"/>
        </w:rPr>
        <w:t>ä</w:t>
      </w:r>
      <w:r w:rsidRPr="00C04639">
        <w:rPr>
          <w:lang w:val="en-US"/>
        </w:rPr>
        <w:t>xj</w:t>
      </w:r>
      <w:r w:rsidR="00536265" w:rsidRPr="00C04639">
        <w:rPr>
          <w:lang w:val="en-US"/>
        </w:rPr>
        <w:t>ö</w:t>
      </w:r>
      <w:proofErr w:type="spellEnd"/>
      <w:r w:rsidRPr="00C04639">
        <w:rPr>
          <w:lang w:val="en-US"/>
        </w:rPr>
        <w:t xml:space="preserve">, Sweden), </w:t>
      </w:r>
      <w:r w:rsidR="00F45BE6" w:rsidRPr="00C04639">
        <w:rPr>
          <w:i/>
          <w:iCs/>
          <w:lang w:val="en-US"/>
        </w:rPr>
        <w:t>Kristin Hegstad</w:t>
      </w:r>
      <w:r w:rsidR="008F01EE" w:rsidRPr="00C04639">
        <w:rPr>
          <w:lang w:val="en-US"/>
        </w:rPr>
        <w:t xml:space="preserve">, </w:t>
      </w:r>
      <w:r w:rsidRPr="00C04639">
        <w:rPr>
          <w:i/>
          <w:iCs/>
          <w:lang w:val="en-US"/>
        </w:rPr>
        <w:t>Bjørg C.</w:t>
      </w:r>
      <w:r w:rsidR="008F01EE" w:rsidRPr="00C04639">
        <w:rPr>
          <w:i/>
          <w:iCs/>
          <w:lang w:val="en-US"/>
        </w:rPr>
        <w:t xml:space="preserve"> Haldorsen</w:t>
      </w:r>
      <w:r w:rsidRPr="00C04639">
        <w:rPr>
          <w:lang w:val="en-US"/>
        </w:rPr>
        <w:t xml:space="preserve"> and </w:t>
      </w:r>
      <w:r w:rsidRPr="00C04639">
        <w:rPr>
          <w:i/>
          <w:iCs/>
          <w:lang w:val="en-US"/>
        </w:rPr>
        <w:t>Arnfinn Sundsfjord</w:t>
      </w:r>
      <w:r w:rsidRPr="00C04639">
        <w:rPr>
          <w:lang w:val="en-US"/>
        </w:rPr>
        <w:t xml:space="preserve"> (</w:t>
      </w:r>
      <w:r w:rsidR="00F45BE6" w:rsidRPr="00C04639">
        <w:rPr>
          <w:lang w:val="en-US"/>
        </w:rPr>
        <w:t>KH</w:t>
      </w:r>
      <w:r w:rsidR="008F01EE" w:rsidRPr="00C04639">
        <w:rPr>
          <w:lang w:val="en-US"/>
        </w:rPr>
        <w:t xml:space="preserve">, BCH and </w:t>
      </w:r>
      <w:r w:rsidRPr="00C04639">
        <w:rPr>
          <w:lang w:val="en-US"/>
        </w:rPr>
        <w:t xml:space="preserve">AS; </w:t>
      </w:r>
      <w:proofErr w:type="spellStart"/>
      <w:r w:rsidRPr="00C04639">
        <w:rPr>
          <w:lang w:val="en-US"/>
        </w:rPr>
        <w:t>Tromsø</w:t>
      </w:r>
      <w:proofErr w:type="spellEnd"/>
      <w:r w:rsidRPr="00C04639">
        <w:rPr>
          <w:lang w:val="en-US"/>
        </w:rPr>
        <w:t xml:space="preserve"> Norway)</w:t>
      </w:r>
      <w:r w:rsidR="00BB4130" w:rsidRPr="00C04639">
        <w:rPr>
          <w:lang w:val="en-US"/>
        </w:rPr>
        <w:t xml:space="preserve">, </w:t>
      </w:r>
      <w:r w:rsidR="0082015B" w:rsidRPr="00C04639">
        <w:rPr>
          <w:lang w:val="en-US"/>
        </w:rPr>
        <w:t xml:space="preserve">and </w:t>
      </w:r>
      <w:r w:rsidR="00871949" w:rsidRPr="00BD24AA">
        <w:rPr>
          <w:i/>
          <w:iCs/>
          <w:lang w:val="en-US"/>
        </w:rPr>
        <w:t>Kristjan</w:t>
      </w:r>
      <w:r w:rsidR="00C04639" w:rsidRPr="00BD24AA">
        <w:rPr>
          <w:i/>
          <w:iCs/>
          <w:lang w:val="en-US"/>
        </w:rPr>
        <w:t xml:space="preserve"> </w:t>
      </w:r>
      <w:proofErr w:type="spellStart"/>
      <w:r w:rsidR="00C04639" w:rsidRPr="00BD24AA">
        <w:rPr>
          <w:i/>
          <w:iCs/>
          <w:lang w:val="en-US"/>
        </w:rPr>
        <w:t>Orri</w:t>
      </w:r>
      <w:proofErr w:type="spellEnd"/>
      <w:r w:rsidR="00C04639" w:rsidRPr="00BD24AA">
        <w:rPr>
          <w:i/>
          <w:iCs/>
          <w:lang w:val="en-US"/>
        </w:rPr>
        <w:t xml:space="preserve"> </w:t>
      </w:r>
      <w:proofErr w:type="spellStart"/>
      <w:r w:rsidR="00C04639" w:rsidRPr="00BD24AA">
        <w:rPr>
          <w:i/>
          <w:iCs/>
          <w:lang w:val="en-US"/>
        </w:rPr>
        <w:t>Helgason</w:t>
      </w:r>
      <w:proofErr w:type="spellEnd"/>
      <w:r w:rsidR="0082015B" w:rsidRPr="00C04639">
        <w:rPr>
          <w:lang w:val="en-US"/>
        </w:rPr>
        <w:t xml:space="preserve"> (</w:t>
      </w:r>
      <w:r w:rsidR="00C04639">
        <w:rPr>
          <w:lang w:val="en-US"/>
        </w:rPr>
        <w:t xml:space="preserve">KOH; </w:t>
      </w:r>
      <w:r w:rsidR="0082015B" w:rsidRPr="00C04639">
        <w:rPr>
          <w:lang w:val="en-US"/>
        </w:rPr>
        <w:t>Iceland</w:t>
      </w:r>
      <w:r w:rsidR="000C0F29" w:rsidRPr="00C04639">
        <w:rPr>
          <w:lang w:val="en-US"/>
        </w:rPr>
        <w:t>)</w:t>
      </w:r>
      <w:r w:rsidRPr="00C04639">
        <w:rPr>
          <w:lang w:val="en-US"/>
        </w:rPr>
        <w:t xml:space="preserve">. </w:t>
      </w:r>
      <w:r w:rsidR="00E805D3" w:rsidRPr="00C04639">
        <w:rPr>
          <w:lang w:val="en-US"/>
        </w:rPr>
        <w:t xml:space="preserve">The reference group </w:t>
      </w:r>
      <w:r w:rsidR="00FD7BF3" w:rsidRPr="00C04639">
        <w:rPr>
          <w:lang w:val="en-US"/>
        </w:rPr>
        <w:t>is</w:t>
      </w:r>
      <w:r w:rsidR="00E805D3" w:rsidRPr="00C04639">
        <w:rPr>
          <w:lang w:val="en-US"/>
        </w:rPr>
        <w:t xml:space="preserve"> coordin</w:t>
      </w:r>
      <w:r w:rsidR="00FD7BF3" w:rsidRPr="00C04639">
        <w:rPr>
          <w:lang w:val="en-US"/>
        </w:rPr>
        <w:t>a</w:t>
      </w:r>
      <w:r w:rsidR="00FA1069" w:rsidRPr="00C04639">
        <w:rPr>
          <w:lang w:val="en-US"/>
        </w:rPr>
        <w:t xml:space="preserve">ted by </w:t>
      </w:r>
      <w:r w:rsidR="00642223" w:rsidRPr="00C04639">
        <w:rPr>
          <w:lang w:val="en-US"/>
        </w:rPr>
        <w:t xml:space="preserve">KH, </w:t>
      </w:r>
      <w:r w:rsidR="00FA1069" w:rsidRPr="00C04639">
        <w:rPr>
          <w:lang w:val="en-US"/>
        </w:rPr>
        <w:t xml:space="preserve">BCH and AS. </w:t>
      </w:r>
      <w:r w:rsidR="000C0F29" w:rsidRPr="00C04639">
        <w:rPr>
          <w:lang w:val="en-US"/>
        </w:rPr>
        <w:t>B</w:t>
      </w:r>
      <w:r w:rsidR="00AD1F90">
        <w:rPr>
          <w:lang w:val="en-US"/>
        </w:rPr>
        <w:t>CH</w:t>
      </w:r>
      <w:r w:rsidR="000C0F29" w:rsidRPr="00C04639">
        <w:rPr>
          <w:lang w:val="en-US"/>
        </w:rPr>
        <w:t xml:space="preserve">, </w:t>
      </w:r>
      <w:r w:rsidR="00871949" w:rsidRPr="00C04639">
        <w:rPr>
          <w:lang w:val="en-US"/>
        </w:rPr>
        <w:t>E</w:t>
      </w:r>
      <w:r w:rsidR="00C04639">
        <w:rPr>
          <w:lang w:val="en-US"/>
        </w:rPr>
        <w:t>M</w:t>
      </w:r>
      <w:r w:rsidR="005F3DC1" w:rsidRPr="00C04639">
        <w:rPr>
          <w:lang w:val="en-US"/>
        </w:rPr>
        <w:t>,</w:t>
      </w:r>
      <w:r w:rsidR="00642223" w:rsidRPr="00C04639">
        <w:rPr>
          <w:lang w:val="en-US"/>
        </w:rPr>
        <w:t xml:space="preserve"> </w:t>
      </w:r>
      <w:r w:rsidR="00871949" w:rsidRPr="00C04639">
        <w:rPr>
          <w:lang w:val="en-US"/>
        </w:rPr>
        <w:t>B</w:t>
      </w:r>
      <w:r w:rsidR="00C04639">
        <w:rPr>
          <w:lang w:val="en-US"/>
        </w:rPr>
        <w:t>H</w:t>
      </w:r>
      <w:r w:rsidR="00642223" w:rsidRPr="00C04639">
        <w:rPr>
          <w:lang w:val="en-US"/>
        </w:rPr>
        <w:t>,</w:t>
      </w:r>
      <w:r w:rsidR="00871949" w:rsidRPr="00C04639">
        <w:rPr>
          <w:lang w:val="en-US"/>
        </w:rPr>
        <w:t xml:space="preserve"> H</w:t>
      </w:r>
      <w:r w:rsidR="00C04639">
        <w:rPr>
          <w:lang w:val="en-US"/>
        </w:rPr>
        <w:t>I</w:t>
      </w:r>
      <w:r w:rsidR="00642223" w:rsidRPr="00C04639">
        <w:rPr>
          <w:lang w:val="en-US"/>
        </w:rPr>
        <w:t xml:space="preserve">, </w:t>
      </w:r>
      <w:r w:rsidR="005F3DC1" w:rsidRPr="00C04639">
        <w:rPr>
          <w:lang w:val="en-US"/>
        </w:rPr>
        <w:t xml:space="preserve">and </w:t>
      </w:r>
      <w:r w:rsidR="00871949" w:rsidRPr="00C04639">
        <w:rPr>
          <w:lang w:val="en-US"/>
        </w:rPr>
        <w:t>K</w:t>
      </w:r>
      <w:r w:rsidR="00C04639">
        <w:rPr>
          <w:lang w:val="en-US"/>
        </w:rPr>
        <w:t xml:space="preserve">OH </w:t>
      </w:r>
      <w:r w:rsidR="00E805D3" w:rsidRPr="00C04639">
        <w:rPr>
          <w:lang w:val="en-US"/>
        </w:rPr>
        <w:t>are responsible for invitation and recruitment of par</w:t>
      </w:r>
      <w:r w:rsidR="00FA1069" w:rsidRPr="00C04639">
        <w:rPr>
          <w:lang w:val="en-US"/>
        </w:rPr>
        <w:t>ticipating laboratories in Norway, Sweden, Denmark, Finland</w:t>
      </w:r>
      <w:r w:rsidR="005F3DC1" w:rsidRPr="00C04639">
        <w:rPr>
          <w:lang w:val="en-US"/>
        </w:rPr>
        <w:t>,</w:t>
      </w:r>
      <w:r w:rsidR="00FA1069" w:rsidRPr="00C04639">
        <w:rPr>
          <w:lang w:val="en-US"/>
        </w:rPr>
        <w:t xml:space="preserve"> and Iceland, respectively</w:t>
      </w:r>
      <w:r w:rsidR="00E805D3" w:rsidRPr="00C04639">
        <w:rPr>
          <w:lang w:val="en-US"/>
        </w:rPr>
        <w:t>. Any public</w:t>
      </w:r>
      <w:r w:rsidR="00BB4130" w:rsidRPr="00C04639">
        <w:rPr>
          <w:lang w:val="en-US"/>
        </w:rPr>
        <w:t>ation from this study is obliged</w:t>
      </w:r>
      <w:r w:rsidR="00E805D3" w:rsidRPr="00C04639">
        <w:rPr>
          <w:lang w:val="en-US"/>
        </w:rPr>
        <w:t xml:space="preserve"> to follow the Vancouver protocol for determining authorship.</w:t>
      </w:r>
      <w:r w:rsidR="004755E2" w:rsidRPr="00C04639">
        <w:rPr>
          <w:lang w:val="en-US"/>
        </w:rPr>
        <w:t xml:space="preserve"> All</w:t>
      </w:r>
      <w:r w:rsidR="00D7574E" w:rsidRPr="00C04639">
        <w:rPr>
          <w:lang w:val="en-US"/>
        </w:rPr>
        <w:t xml:space="preserve"> </w:t>
      </w:r>
      <w:r w:rsidR="004755E2" w:rsidRPr="00C04639">
        <w:rPr>
          <w:lang w:val="en-US"/>
        </w:rPr>
        <w:t xml:space="preserve">local </w:t>
      </w:r>
      <w:r w:rsidR="00C118F2" w:rsidRPr="00C04639">
        <w:rPr>
          <w:lang w:val="en-US"/>
        </w:rPr>
        <w:t xml:space="preserve">LRE-TRE </w:t>
      </w:r>
      <w:r w:rsidR="004755E2" w:rsidRPr="00C04639">
        <w:rPr>
          <w:lang w:val="en-US"/>
        </w:rPr>
        <w:t xml:space="preserve">study </w:t>
      </w:r>
      <w:r w:rsidR="00FC180E" w:rsidRPr="00C04639">
        <w:rPr>
          <w:lang w:val="en-US"/>
        </w:rPr>
        <w:t xml:space="preserve">laboratory </w:t>
      </w:r>
      <w:r w:rsidR="004755E2" w:rsidRPr="00C04639">
        <w:rPr>
          <w:lang w:val="en-US"/>
        </w:rPr>
        <w:t>supervisor</w:t>
      </w:r>
      <w:r w:rsidR="000546B1" w:rsidRPr="00C04639">
        <w:rPr>
          <w:lang w:val="en-US"/>
        </w:rPr>
        <w:t>s</w:t>
      </w:r>
      <w:r w:rsidR="004755E2" w:rsidRPr="00C04639">
        <w:rPr>
          <w:lang w:val="en-US"/>
        </w:rPr>
        <w:t xml:space="preserve"> (contact person</w:t>
      </w:r>
      <w:r w:rsidR="000546B1" w:rsidRPr="00C04639">
        <w:rPr>
          <w:lang w:val="en-US"/>
        </w:rPr>
        <w:t>s)</w:t>
      </w:r>
      <w:r w:rsidR="004755E2" w:rsidRPr="00C04639">
        <w:rPr>
          <w:lang w:val="en-US"/>
        </w:rPr>
        <w:t xml:space="preserve"> </w:t>
      </w:r>
      <w:r w:rsidR="00D7574E" w:rsidRPr="00C04639">
        <w:rPr>
          <w:lang w:val="en-US"/>
        </w:rPr>
        <w:t xml:space="preserve">will be included </w:t>
      </w:r>
      <w:r w:rsidR="004755E2" w:rsidRPr="00C04639">
        <w:rPr>
          <w:lang w:val="en-US"/>
        </w:rPr>
        <w:t xml:space="preserve">and acknowledged </w:t>
      </w:r>
      <w:r w:rsidR="000546B1" w:rsidRPr="00C04639">
        <w:rPr>
          <w:lang w:val="en-US"/>
        </w:rPr>
        <w:t>as partners in</w:t>
      </w:r>
      <w:r w:rsidR="00D7574E" w:rsidRPr="00C04639">
        <w:rPr>
          <w:lang w:val="en-US"/>
        </w:rPr>
        <w:t xml:space="preserve"> the Nordic </w:t>
      </w:r>
      <w:r w:rsidR="001C3733" w:rsidRPr="00C04639">
        <w:rPr>
          <w:lang w:val="en-US"/>
        </w:rPr>
        <w:t>LRE-TRE</w:t>
      </w:r>
      <w:r w:rsidR="00D7574E" w:rsidRPr="00C04639">
        <w:rPr>
          <w:lang w:val="en-US"/>
        </w:rPr>
        <w:t xml:space="preserve"> study group.</w:t>
      </w:r>
    </w:p>
    <w:p w14:paraId="102E4AA5" w14:textId="3FE0B637" w:rsidR="001C3733" w:rsidRDefault="001C3733" w:rsidP="008E2D46">
      <w:pPr>
        <w:spacing w:line="276" w:lineRule="auto"/>
        <w:jc w:val="both"/>
        <w:rPr>
          <w:lang w:val="en-US"/>
        </w:rPr>
      </w:pPr>
    </w:p>
    <w:p w14:paraId="2ABB2F14" w14:textId="77777777" w:rsidR="00803B91" w:rsidRPr="00C04639" w:rsidRDefault="00803B91" w:rsidP="008E2D46">
      <w:pPr>
        <w:spacing w:line="276" w:lineRule="auto"/>
        <w:jc w:val="both"/>
        <w:rPr>
          <w:lang w:val="en-US"/>
        </w:rPr>
      </w:pPr>
    </w:p>
    <w:p w14:paraId="4378AC86" w14:textId="77777777" w:rsidR="00E805D3" w:rsidRPr="00C04639" w:rsidRDefault="00E805D3" w:rsidP="008F01EE">
      <w:pPr>
        <w:pStyle w:val="Listeavsnitt"/>
        <w:spacing w:line="276" w:lineRule="auto"/>
        <w:ind w:left="0"/>
        <w:jc w:val="left"/>
        <w:rPr>
          <w:b/>
          <w:lang w:val="da-DK"/>
        </w:rPr>
      </w:pPr>
      <w:r w:rsidRPr="00C04639">
        <w:rPr>
          <w:b/>
          <w:lang w:val="da-DK"/>
        </w:rPr>
        <w:t>References</w:t>
      </w:r>
    </w:p>
    <w:p w14:paraId="4116D1FD" w14:textId="3B0F005D" w:rsidR="007E2B43" w:rsidRPr="00C04639" w:rsidRDefault="007E2B43" w:rsidP="001E58CE">
      <w:pPr>
        <w:pStyle w:val="Listeavsnitt"/>
        <w:ind w:left="0"/>
        <w:jc w:val="both"/>
        <w:rPr>
          <w:lang w:val="da-DK"/>
        </w:rPr>
      </w:pPr>
    </w:p>
    <w:p w14:paraId="182EF9C8" w14:textId="513FEB79" w:rsidR="001E58CE" w:rsidRPr="00C04639" w:rsidRDefault="001E58CE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  <w:r w:rsidRPr="00C04639">
        <w:rPr>
          <w:rFonts w:cstheme="minorHAnsi"/>
          <w:lang w:val="en-US"/>
        </w:rPr>
        <w:t>1.</w:t>
      </w:r>
      <w:r w:rsidR="00FF1132" w:rsidRPr="00C04639">
        <w:rPr>
          <w:rFonts w:cstheme="minorHAnsi"/>
          <w:lang w:val="en-US"/>
        </w:rPr>
        <w:t xml:space="preserve"> </w:t>
      </w:r>
      <w:r w:rsidR="00F57188" w:rsidRPr="00C04639">
        <w:rPr>
          <w:rFonts w:cstheme="minorHAnsi"/>
          <w:lang w:val="en-US"/>
        </w:rPr>
        <w:tab/>
      </w:r>
      <w:r w:rsidRPr="00C04639">
        <w:rPr>
          <w:rFonts w:cstheme="minorHAnsi"/>
          <w:lang w:val="en-US"/>
        </w:rPr>
        <w:t xml:space="preserve">Khan A, Miller WR, </w:t>
      </w:r>
      <w:proofErr w:type="spellStart"/>
      <w:r w:rsidRPr="00C04639">
        <w:rPr>
          <w:rFonts w:cstheme="minorHAnsi"/>
          <w:lang w:val="en-US"/>
        </w:rPr>
        <w:t>Axell</w:t>
      </w:r>
      <w:proofErr w:type="spellEnd"/>
      <w:r w:rsidRPr="00C04639">
        <w:rPr>
          <w:rFonts w:cstheme="minorHAnsi"/>
          <w:lang w:val="en-US"/>
        </w:rPr>
        <w:t xml:space="preserve">-House D, </w:t>
      </w:r>
      <w:proofErr w:type="spellStart"/>
      <w:r w:rsidRPr="00C04639">
        <w:rPr>
          <w:rFonts w:cstheme="minorHAnsi"/>
          <w:lang w:val="en-US"/>
        </w:rPr>
        <w:t>Munita</w:t>
      </w:r>
      <w:proofErr w:type="spellEnd"/>
      <w:r w:rsidRPr="00C04639">
        <w:rPr>
          <w:rFonts w:cstheme="minorHAnsi"/>
          <w:lang w:val="en-US"/>
        </w:rPr>
        <w:t xml:space="preserve"> JM, Cesar A. Arias CA. Antimicrobial </w:t>
      </w:r>
      <w:r w:rsidR="001B615E" w:rsidRPr="00C04639">
        <w:rPr>
          <w:rFonts w:cstheme="minorHAnsi"/>
          <w:lang w:val="en-US"/>
        </w:rPr>
        <w:t>s</w:t>
      </w:r>
      <w:r w:rsidRPr="00C04639">
        <w:rPr>
          <w:rFonts w:cstheme="minorHAnsi"/>
          <w:lang w:val="en-US"/>
        </w:rPr>
        <w:t xml:space="preserve">usceptibility </w:t>
      </w:r>
      <w:r w:rsidR="001B615E" w:rsidRPr="00C04639">
        <w:rPr>
          <w:rFonts w:cstheme="minorHAnsi"/>
          <w:lang w:val="en-US"/>
        </w:rPr>
        <w:t>t</w:t>
      </w:r>
      <w:r w:rsidRPr="00C04639">
        <w:rPr>
          <w:rFonts w:cstheme="minorHAnsi"/>
          <w:lang w:val="en-US"/>
        </w:rPr>
        <w:t xml:space="preserve">esting for </w:t>
      </w:r>
      <w:r w:rsidR="001B615E" w:rsidRPr="00C04639">
        <w:rPr>
          <w:rFonts w:cstheme="minorHAnsi"/>
          <w:lang w:val="en-US"/>
        </w:rPr>
        <w:t>e</w:t>
      </w:r>
      <w:r w:rsidRPr="00C04639">
        <w:rPr>
          <w:rFonts w:cstheme="minorHAnsi"/>
          <w:lang w:val="en-US"/>
        </w:rPr>
        <w:t xml:space="preserve">nterococci. J Clin Microbiol </w:t>
      </w:r>
      <w:proofErr w:type="gramStart"/>
      <w:r w:rsidRPr="00C04639">
        <w:rPr>
          <w:rFonts w:cstheme="minorHAnsi"/>
          <w:lang w:val="en-US"/>
        </w:rPr>
        <w:t>2022;60:1</w:t>
      </w:r>
      <w:proofErr w:type="gramEnd"/>
      <w:r w:rsidRPr="00C04639">
        <w:rPr>
          <w:rFonts w:cstheme="minorHAnsi"/>
          <w:lang w:val="en-US"/>
        </w:rPr>
        <w:t>-9</w:t>
      </w:r>
      <w:r w:rsidR="00903EED" w:rsidRPr="00C04639">
        <w:rPr>
          <w:rFonts w:cstheme="minorHAnsi"/>
          <w:lang w:val="en-US"/>
        </w:rPr>
        <w:t>.</w:t>
      </w:r>
    </w:p>
    <w:p w14:paraId="5D313CEE" w14:textId="5F7F943A" w:rsidR="001E58CE" w:rsidRPr="00C04639" w:rsidRDefault="001E58CE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  <w:r w:rsidRPr="00C04639">
        <w:rPr>
          <w:rFonts w:cstheme="minorHAnsi"/>
          <w:lang w:val="en-US"/>
        </w:rPr>
        <w:t>2.</w:t>
      </w:r>
      <w:r w:rsidR="00FF1132" w:rsidRPr="00C04639">
        <w:rPr>
          <w:rFonts w:cstheme="minorHAnsi"/>
          <w:lang w:val="en-US"/>
        </w:rPr>
        <w:t xml:space="preserve"> </w:t>
      </w:r>
      <w:r w:rsidR="00F57188" w:rsidRPr="00C04639">
        <w:rPr>
          <w:rFonts w:cstheme="minorHAnsi"/>
          <w:lang w:val="en-US"/>
        </w:rPr>
        <w:tab/>
      </w:r>
      <w:r w:rsidRPr="00C04639">
        <w:rPr>
          <w:rFonts w:cstheme="minorHAnsi"/>
          <w:lang w:val="en-US"/>
        </w:rPr>
        <w:t xml:space="preserve">Miller WR, Murray BE, Rice LB, Arias CA. Resistance in Vancomycin-Resistant Enterococci. Infect Dis Clin North Am </w:t>
      </w:r>
      <w:proofErr w:type="gramStart"/>
      <w:r w:rsidRPr="00C04639">
        <w:rPr>
          <w:rFonts w:cstheme="minorHAnsi"/>
          <w:lang w:val="en-US"/>
        </w:rPr>
        <w:t>2020;34:751</w:t>
      </w:r>
      <w:proofErr w:type="gramEnd"/>
      <w:r w:rsidRPr="00C04639">
        <w:rPr>
          <w:rFonts w:cstheme="minorHAnsi"/>
          <w:lang w:val="en-US"/>
        </w:rPr>
        <w:t>-71</w:t>
      </w:r>
      <w:r w:rsidR="00903EED" w:rsidRPr="00C04639">
        <w:rPr>
          <w:rFonts w:cstheme="minorHAnsi"/>
          <w:lang w:val="en-US"/>
        </w:rPr>
        <w:t>.</w:t>
      </w:r>
    </w:p>
    <w:p w14:paraId="4DE92A63" w14:textId="77777777" w:rsidR="001B615E" w:rsidRPr="00C04639" w:rsidRDefault="001E58CE" w:rsidP="001B615E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  <w:r w:rsidRPr="00C04639">
        <w:rPr>
          <w:rFonts w:cstheme="minorHAnsi"/>
          <w:lang w:val="en-US"/>
        </w:rPr>
        <w:t>3.</w:t>
      </w:r>
      <w:r w:rsidR="00FF1132" w:rsidRPr="00C04639">
        <w:rPr>
          <w:rFonts w:cstheme="minorHAnsi"/>
          <w:lang w:val="en-US"/>
        </w:rPr>
        <w:t xml:space="preserve"> </w:t>
      </w:r>
      <w:r w:rsidR="00F57188" w:rsidRPr="00C04639">
        <w:rPr>
          <w:rFonts w:cstheme="minorHAnsi"/>
          <w:lang w:val="en-US"/>
        </w:rPr>
        <w:tab/>
      </w:r>
      <w:proofErr w:type="spellStart"/>
      <w:r w:rsidRPr="00C04639">
        <w:rPr>
          <w:rFonts w:cstheme="minorHAnsi"/>
          <w:lang w:val="en-US"/>
        </w:rPr>
        <w:t>Pfaller</w:t>
      </w:r>
      <w:proofErr w:type="spellEnd"/>
      <w:r w:rsidRPr="00C04639">
        <w:rPr>
          <w:rFonts w:cstheme="minorHAnsi"/>
          <w:lang w:val="en-US"/>
        </w:rPr>
        <w:t xml:space="preserve"> MA, </w:t>
      </w:r>
      <w:proofErr w:type="spellStart"/>
      <w:r w:rsidRPr="00C04639">
        <w:rPr>
          <w:rFonts w:cstheme="minorHAnsi"/>
          <w:lang w:val="en-US"/>
        </w:rPr>
        <w:t>Cormican</w:t>
      </w:r>
      <w:proofErr w:type="spellEnd"/>
      <w:r w:rsidRPr="00C04639">
        <w:rPr>
          <w:rFonts w:cstheme="minorHAnsi"/>
          <w:lang w:val="en-US"/>
        </w:rPr>
        <w:t xml:space="preserve"> M, Flamm RK, Mendes RE, Jones RN. Temporal and geographic variation in antimicrobial susceptibility and resistance patterns of enterococci: results from the SENTRY Antimicrobial Surveillance Program, 1997-2016. Open Forum Infect Dis 2019;</w:t>
      </w:r>
      <w:proofErr w:type="gramStart"/>
      <w:r w:rsidRPr="00C04639">
        <w:rPr>
          <w:rFonts w:cstheme="minorHAnsi"/>
          <w:lang w:val="en-US"/>
        </w:rPr>
        <w:t>6:S</w:t>
      </w:r>
      <w:proofErr w:type="gramEnd"/>
      <w:r w:rsidRPr="00C04639">
        <w:rPr>
          <w:rFonts w:cstheme="minorHAnsi"/>
          <w:lang w:val="en-US"/>
        </w:rPr>
        <w:t>54–S62.</w:t>
      </w:r>
    </w:p>
    <w:p w14:paraId="27197A6A" w14:textId="61817C54" w:rsidR="001B615E" w:rsidRPr="00C04639" w:rsidRDefault="001B615E" w:rsidP="001B615E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  <w:r w:rsidRPr="00C04639">
        <w:rPr>
          <w:rFonts w:cstheme="minorHAnsi"/>
          <w:lang w:val="en-US"/>
        </w:rPr>
        <w:t>4.</w:t>
      </w:r>
      <w:r w:rsidRPr="00C04639">
        <w:rPr>
          <w:rFonts w:cstheme="minorHAnsi"/>
          <w:lang w:val="en-US"/>
        </w:rPr>
        <w:tab/>
      </w:r>
      <w:proofErr w:type="spellStart"/>
      <w:r w:rsidR="00903EED" w:rsidRPr="00C04639">
        <w:rPr>
          <w:rFonts w:cstheme="minorHAnsi"/>
          <w:lang w:val="en-US"/>
        </w:rPr>
        <w:t>Beabout</w:t>
      </w:r>
      <w:proofErr w:type="spellEnd"/>
      <w:r w:rsidR="00903EED" w:rsidRPr="00C04639">
        <w:rPr>
          <w:rFonts w:cstheme="minorHAnsi"/>
          <w:lang w:val="en-US"/>
        </w:rPr>
        <w:t xml:space="preserve"> </w:t>
      </w:r>
      <w:r w:rsidRPr="00C04639">
        <w:rPr>
          <w:rFonts w:cstheme="minorHAnsi"/>
          <w:lang w:val="en-GB"/>
        </w:rPr>
        <w:t xml:space="preserve">K, </w:t>
      </w:r>
      <w:proofErr w:type="spellStart"/>
      <w:r w:rsidRPr="00C04639">
        <w:rPr>
          <w:rFonts w:cstheme="minorHAnsi"/>
          <w:lang w:val="en-GB"/>
        </w:rPr>
        <w:t>Hammerstrom</w:t>
      </w:r>
      <w:proofErr w:type="spellEnd"/>
      <w:r w:rsidRPr="00C04639">
        <w:rPr>
          <w:rFonts w:cstheme="minorHAnsi"/>
          <w:lang w:val="en-GB"/>
        </w:rPr>
        <w:t xml:space="preserve"> TG, Wang TT, </w:t>
      </w:r>
      <w:proofErr w:type="spellStart"/>
      <w:r w:rsidRPr="00C04639">
        <w:rPr>
          <w:rFonts w:cstheme="minorHAnsi"/>
          <w:lang w:val="en-GB"/>
        </w:rPr>
        <w:t>Bhatty</w:t>
      </w:r>
      <w:proofErr w:type="spellEnd"/>
      <w:r w:rsidRPr="00C04639">
        <w:rPr>
          <w:rFonts w:cstheme="minorHAnsi"/>
          <w:lang w:val="en-GB"/>
        </w:rPr>
        <w:t xml:space="preserve"> M, Christie PJ, </w:t>
      </w:r>
      <w:proofErr w:type="spellStart"/>
      <w:r w:rsidRPr="00C04639">
        <w:rPr>
          <w:rFonts w:cstheme="minorHAnsi"/>
          <w:lang w:val="en-GB"/>
        </w:rPr>
        <w:t>Saxer</w:t>
      </w:r>
      <w:proofErr w:type="spellEnd"/>
      <w:r w:rsidRPr="00C04639">
        <w:rPr>
          <w:rFonts w:cstheme="minorHAnsi"/>
          <w:lang w:val="en-GB"/>
        </w:rPr>
        <w:t xml:space="preserve"> G, </w:t>
      </w:r>
      <w:proofErr w:type="spellStart"/>
      <w:r w:rsidRPr="00C04639">
        <w:rPr>
          <w:rFonts w:cstheme="minorHAnsi"/>
          <w:lang w:val="en-GB"/>
        </w:rPr>
        <w:t>Shamoo</w:t>
      </w:r>
      <w:proofErr w:type="spellEnd"/>
      <w:r w:rsidRPr="00C04639">
        <w:rPr>
          <w:rFonts w:cstheme="minorHAnsi"/>
          <w:lang w:val="en-GB"/>
        </w:rPr>
        <w:t xml:space="preserve"> Y. Rampant </w:t>
      </w:r>
      <w:proofErr w:type="spellStart"/>
      <w:r w:rsidRPr="00C04639">
        <w:rPr>
          <w:rFonts w:cstheme="minorHAnsi"/>
          <w:lang w:val="en-GB"/>
        </w:rPr>
        <w:t>parasexuality</w:t>
      </w:r>
      <w:proofErr w:type="spellEnd"/>
      <w:r w:rsidRPr="00C04639">
        <w:rPr>
          <w:rFonts w:cstheme="minorHAnsi"/>
          <w:lang w:val="en-GB"/>
        </w:rPr>
        <w:t xml:space="preserve"> evolves in a hospital pathogen during antibiotic selection. </w:t>
      </w:r>
      <w:r w:rsidR="00903EED" w:rsidRPr="00C04639">
        <w:rPr>
          <w:rFonts w:cstheme="minorHAnsi"/>
          <w:lang w:val="en-US"/>
        </w:rPr>
        <w:t xml:space="preserve">Mol Biol </w:t>
      </w:r>
      <w:proofErr w:type="spellStart"/>
      <w:r w:rsidR="00903EED" w:rsidRPr="00C04639">
        <w:rPr>
          <w:rFonts w:cstheme="minorHAnsi"/>
          <w:lang w:val="en-US"/>
        </w:rPr>
        <w:t>Evol</w:t>
      </w:r>
      <w:proofErr w:type="spellEnd"/>
      <w:r w:rsidR="00903EED" w:rsidRPr="00C04639">
        <w:rPr>
          <w:rFonts w:cstheme="minorHAnsi"/>
          <w:lang w:val="en-US"/>
        </w:rPr>
        <w:t xml:space="preserve"> </w:t>
      </w:r>
      <w:proofErr w:type="gramStart"/>
      <w:r w:rsidR="00903EED" w:rsidRPr="00C04639">
        <w:rPr>
          <w:rFonts w:cstheme="minorHAnsi"/>
          <w:lang w:val="en-US"/>
        </w:rPr>
        <w:t>2015;32:2585</w:t>
      </w:r>
      <w:proofErr w:type="gramEnd"/>
      <w:r w:rsidR="00903EED" w:rsidRPr="00C04639">
        <w:rPr>
          <w:rFonts w:cstheme="minorHAnsi"/>
          <w:lang w:val="en-US"/>
        </w:rPr>
        <w:t>-97</w:t>
      </w:r>
      <w:r w:rsidR="00F57188" w:rsidRPr="00C04639">
        <w:rPr>
          <w:rFonts w:cstheme="minorHAnsi"/>
          <w:lang w:val="en-US"/>
        </w:rPr>
        <w:t>.</w:t>
      </w:r>
    </w:p>
    <w:p w14:paraId="707BD260" w14:textId="77777777" w:rsidR="001B615E" w:rsidRPr="00C04639" w:rsidRDefault="00903EED" w:rsidP="001B615E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bCs/>
          <w:color w:val="000000" w:themeColor="text1"/>
          <w:lang w:val="en-US"/>
        </w:rPr>
      </w:pPr>
      <w:r w:rsidRPr="00C04639">
        <w:rPr>
          <w:rFonts w:cstheme="minorHAnsi"/>
          <w:bCs/>
          <w:color w:val="000000" w:themeColor="text1"/>
          <w:lang w:val="en-US"/>
        </w:rPr>
        <w:t xml:space="preserve">5. </w:t>
      </w:r>
      <w:r w:rsidR="00F57188" w:rsidRPr="00C04639">
        <w:rPr>
          <w:rFonts w:cstheme="minorHAnsi"/>
          <w:bCs/>
          <w:color w:val="000000" w:themeColor="text1"/>
          <w:lang w:val="en-US"/>
        </w:rPr>
        <w:tab/>
      </w:r>
      <w:proofErr w:type="spellStart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>Beabout</w:t>
      </w:r>
      <w:proofErr w:type="spellEnd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 xml:space="preserve"> K, </w:t>
      </w:r>
      <w:proofErr w:type="spellStart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>Hammerstrom</w:t>
      </w:r>
      <w:proofErr w:type="spellEnd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 xml:space="preserve"> TG, Perez AM, </w:t>
      </w:r>
      <w:proofErr w:type="spellStart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>Magalhães</w:t>
      </w:r>
      <w:proofErr w:type="spellEnd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 xml:space="preserve"> BF, Prater AG, Clements TP, Arias CA, </w:t>
      </w:r>
      <w:proofErr w:type="spellStart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>Saxer</w:t>
      </w:r>
      <w:proofErr w:type="spellEnd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 xml:space="preserve"> G, </w:t>
      </w:r>
      <w:proofErr w:type="spellStart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>Shamoo</w:t>
      </w:r>
      <w:proofErr w:type="spellEnd"/>
      <w:r w:rsidR="001B615E" w:rsidRPr="00C04639">
        <w:rPr>
          <w:rFonts w:cstheme="minorHAnsi"/>
          <w:bCs/>
          <w:color w:val="000000" w:themeColor="text1"/>
          <w:shd w:val="clear" w:color="auto" w:fill="FFFFFF"/>
          <w:lang w:val="en-US"/>
        </w:rPr>
        <w:t xml:space="preserve"> Y. </w:t>
      </w:r>
      <w:r w:rsidR="001B615E" w:rsidRPr="00C04639">
        <w:rPr>
          <w:rFonts w:cstheme="minorHAnsi"/>
          <w:bCs/>
          <w:color w:val="000000" w:themeColor="text1"/>
          <w:lang w:val="en-US"/>
        </w:rPr>
        <w:t xml:space="preserve">The ribosomal S10 protein is a general target for decreased tigecycline susceptibility. </w:t>
      </w:r>
      <w:proofErr w:type="spellStart"/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>Antimicrob</w:t>
      </w:r>
      <w:proofErr w:type="spellEnd"/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 xml:space="preserve"> Agents Chemother </w:t>
      </w:r>
      <w:proofErr w:type="gramStart"/>
      <w:r w:rsidRPr="00C04639">
        <w:rPr>
          <w:rFonts w:cstheme="minorHAnsi"/>
          <w:bCs/>
          <w:color w:val="000000" w:themeColor="text1"/>
          <w:lang w:val="en-US"/>
        </w:rPr>
        <w:t>2015;59:5561</w:t>
      </w:r>
      <w:proofErr w:type="gramEnd"/>
      <w:r w:rsidRPr="00C04639">
        <w:rPr>
          <w:rFonts w:cstheme="minorHAnsi"/>
          <w:bCs/>
          <w:color w:val="000000" w:themeColor="text1"/>
          <w:lang w:val="en-US"/>
        </w:rPr>
        <w:t>-6</w:t>
      </w:r>
      <w:r w:rsidR="00F57188" w:rsidRPr="00C04639">
        <w:rPr>
          <w:rFonts w:cstheme="minorHAnsi"/>
          <w:bCs/>
          <w:color w:val="000000" w:themeColor="text1"/>
          <w:lang w:val="en-US"/>
        </w:rPr>
        <w:t>.</w:t>
      </w:r>
    </w:p>
    <w:p w14:paraId="12FE2DFA" w14:textId="21291E42" w:rsidR="00F57188" w:rsidRPr="00C04639" w:rsidRDefault="00903EED" w:rsidP="001B615E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bCs/>
          <w:color w:val="000000" w:themeColor="text1"/>
          <w:lang w:val="en-US"/>
        </w:rPr>
      </w:pPr>
      <w:r w:rsidRPr="00C04639">
        <w:rPr>
          <w:rFonts w:cstheme="minorHAnsi"/>
          <w:color w:val="000000" w:themeColor="text1"/>
          <w:lang w:val="en-US"/>
        </w:rPr>
        <w:t xml:space="preserve">6. </w:t>
      </w:r>
      <w:r w:rsidR="00F57188" w:rsidRPr="00C04639">
        <w:rPr>
          <w:rFonts w:cstheme="minorHAnsi"/>
          <w:color w:val="000000" w:themeColor="text1"/>
          <w:lang w:val="en-US"/>
        </w:rPr>
        <w:tab/>
      </w:r>
      <w:proofErr w:type="spellStart"/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>Niebel</w:t>
      </w:r>
      <w:proofErr w:type="spellEnd"/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 xml:space="preserve"> M, Quick J, Prieto AM, Hill RL, Pike R, Huber D, David M, </w:t>
      </w:r>
      <w:proofErr w:type="spellStart"/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>Hornsey</w:t>
      </w:r>
      <w:proofErr w:type="spellEnd"/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 xml:space="preserve"> M, Wareham D, Oppenheim B, Woodford N, van Schaik W, Loman N. </w:t>
      </w:r>
      <w:r w:rsidR="001B615E" w:rsidRPr="00C04639">
        <w:rPr>
          <w:rFonts w:cstheme="minorHAnsi"/>
          <w:color w:val="000000" w:themeColor="text1"/>
          <w:lang w:val="en-US"/>
        </w:rPr>
        <w:t xml:space="preserve">Deletions in a ribosomal protein-coding gene are associated with tigecycline resistance in </w:t>
      </w:r>
      <w:r w:rsidR="001B615E" w:rsidRPr="00C04639">
        <w:rPr>
          <w:rFonts w:cstheme="minorHAnsi"/>
          <w:i/>
          <w:iCs/>
          <w:color w:val="000000" w:themeColor="text1"/>
          <w:lang w:val="en-US"/>
        </w:rPr>
        <w:t>Enterococcus faecium</w:t>
      </w:r>
      <w:r w:rsidR="001B615E" w:rsidRPr="00C04639">
        <w:rPr>
          <w:rFonts w:cstheme="minorHAnsi"/>
          <w:color w:val="000000" w:themeColor="text1"/>
          <w:lang w:val="en-US"/>
        </w:rPr>
        <w:t xml:space="preserve">. </w:t>
      </w:r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 xml:space="preserve">Int J </w:t>
      </w:r>
      <w:proofErr w:type="spellStart"/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>Antimicrob</w:t>
      </w:r>
      <w:proofErr w:type="spellEnd"/>
      <w:r w:rsidR="001B615E" w:rsidRPr="00C04639">
        <w:rPr>
          <w:rFonts w:cstheme="minorHAnsi"/>
          <w:color w:val="000000" w:themeColor="text1"/>
          <w:shd w:val="clear" w:color="auto" w:fill="FFFFFF"/>
          <w:lang w:val="en-US"/>
        </w:rPr>
        <w:t xml:space="preserve"> Agents </w:t>
      </w:r>
      <w:proofErr w:type="gramStart"/>
      <w:r w:rsidRPr="00C04639">
        <w:rPr>
          <w:rFonts w:cstheme="minorHAnsi"/>
          <w:color w:val="000000" w:themeColor="text1"/>
          <w:lang w:val="en-US"/>
        </w:rPr>
        <w:t>2015;46:572</w:t>
      </w:r>
      <w:proofErr w:type="gramEnd"/>
      <w:r w:rsidRPr="00C04639">
        <w:rPr>
          <w:rFonts w:cstheme="minorHAnsi"/>
          <w:color w:val="000000" w:themeColor="text1"/>
          <w:lang w:val="en-US"/>
        </w:rPr>
        <w:t>-5</w:t>
      </w:r>
      <w:r w:rsidR="00F57188" w:rsidRPr="00C04639">
        <w:rPr>
          <w:rFonts w:cstheme="minorHAnsi"/>
          <w:color w:val="000000" w:themeColor="text1"/>
          <w:lang w:val="en-US"/>
        </w:rPr>
        <w:t>.</w:t>
      </w:r>
    </w:p>
    <w:p w14:paraId="03C78610" w14:textId="1BBD5971" w:rsidR="00903EED" w:rsidRPr="00C04639" w:rsidRDefault="00903EED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color w:val="000000" w:themeColor="text1"/>
          <w:lang w:val="en-US"/>
        </w:rPr>
      </w:pPr>
      <w:r w:rsidRPr="00C04639">
        <w:rPr>
          <w:rFonts w:cstheme="minorHAnsi"/>
          <w:color w:val="000000" w:themeColor="text1"/>
          <w:lang w:val="en-US"/>
        </w:rPr>
        <w:t>7.</w:t>
      </w:r>
      <w:r w:rsidR="00F57188" w:rsidRPr="00C04639">
        <w:rPr>
          <w:rFonts w:cstheme="minorHAnsi"/>
          <w:color w:val="000000" w:themeColor="text1"/>
          <w:lang w:val="en-US"/>
        </w:rPr>
        <w:t xml:space="preserve"> </w:t>
      </w:r>
      <w:r w:rsidR="00F57188" w:rsidRPr="00C04639">
        <w:rPr>
          <w:rFonts w:cstheme="minorHAnsi"/>
          <w:color w:val="000000" w:themeColor="text1"/>
          <w:lang w:val="en-US"/>
        </w:rPr>
        <w:tab/>
      </w:r>
      <w:r w:rsidRPr="00C04639">
        <w:rPr>
          <w:rStyle w:val="authors-list-item"/>
          <w:rFonts w:cstheme="minorHAnsi"/>
          <w:color w:val="000000" w:themeColor="text1"/>
          <w:lang w:val="en-US"/>
        </w:rPr>
        <w:t>Fiedle</w:t>
      </w:r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>r S</w:t>
      </w:r>
      <w:r w:rsidRPr="00C04639">
        <w:rPr>
          <w:rStyle w:val="comma"/>
          <w:rFonts w:cstheme="minorHAnsi"/>
          <w:color w:val="000000" w:themeColor="text1"/>
          <w:shd w:val="clear" w:color="auto" w:fill="FFFFFF"/>
          <w:lang w:val="en-US"/>
        </w:rPr>
        <w:t>,</w:t>
      </w:r>
      <w:r w:rsidRPr="00C04639">
        <w:rPr>
          <w:rStyle w:val="authors-list-item"/>
          <w:rFonts w:cstheme="minorHAnsi"/>
          <w:color w:val="000000" w:themeColor="text1"/>
          <w:lang w:val="en-US"/>
        </w:rPr>
        <w:t xml:space="preserve"> Bende</w:t>
      </w:r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>r JK</w:t>
      </w:r>
      <w:r w:rsidRPr="00C04639">
        <w:rPr>
          <w:rStyle w:val="comma"/>
          <w:rFonts w:cstheme="minorHAnsi"/>
          <w:color w:val="000000" w:themeColor="text1"/>
          <w:shd w:val="clear" w:color="auto" w:fill="FFFFFF"/>
          <w:lang w:val="en-US"/>
        </w:rPr>
        <w:t>, </w:t>
      </w:r>
      <w:proofErr w:type="spellStart"/>
      <w:r w:rsidRPr="00C04639">
        <w:rPr>
          <w:rStyle w:val="authors-list-item"/>
          <w:rFonts w:cstheme="minorHAnsi"/>
          <w:color w:val="000000" w:themeColor="text1"/>
          <w:lang w:val="en-US"/>
        </w:rPr>
        <w:t>Klar</w:t>
      </w:r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>e</w:t>
      </w:r>
      <w:proofErr w:type="spellEnd"/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 xml:space="preserve"> I</w:t>
      </w:r>
      <w:r w:rsidRPr="00C04639">
        <w:rPr>
          <w:rStyle w:val="comma"/>
          <w:rFonts w:cstheme="minorHAnsi"/>
          <w:color w:val="000000" w:themeColor="text1"/>
          <w:shd w:val="clear" w:color="auto" w:fill="FFFFFF"/>
          <w:lang w:val="en-US"/>
        </w:rPr>
        <w:t>, </w:t>
      </w:r>
      <w:proofErr w:type="spellStart"/>
      <w:r w:rsidRPr="00C04639">
        <w:rPr>
          <w:rStyle w:val="authors-list-item"/>
          <w:rFonts w:cstheme="minorHAnsi"/>
          <w:color w:val="000000" w:themeColor="text1"/>
          <w:lang w:val="en-US"/>
        </w:rPr>
        <w:t>Halbede</w:t>
      </w:r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>l</w:t>
      </w:r>
      <w:proofErr w:type="spellEnd"/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 xml:space="preserve"> S</w:t>
      </w:r>
      <w:r w:rsidRPr="00C04639">
        <w:rPr>
          <w:rStyle w:val="comma"/>
          <w:rFonts w:cstheme="minorHAnsi"/>
          <w:color w:val="000000" w:themeColor="text1"/>
          <w:shd w:val="clear" w:color="auto" w:fill="FFFFFF"/>
          <w:lang w:val="en-US"/>
        </w:rPr>
        <w:t>, </w:t>
      </w:r>
      <w:proofErr w:type="spellStart"/>
      <w:r w:rsidRPr="00C04639">
        <w:rPr>
          <w:rStyle w:val="authors-list-item"/>
          <w:rFonts w:cstheme="minorHAnsi"/>
          <w:color w:val="000000" w:themeColor="text1"/>
          <w:lang w:val="en-US"/>
        </w:rPr>
        <w:t>Grohman</w:t>
      </w:r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>n</w:t>
      </w:r>
      <w:proofErr w:type="spellEnd"/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 xml:space="preserve"> E</w:t>
      </w:r>
      <w:r w:rsidRPr="00C04639">
        <w:rPr>
          <w:rStyle w:val="comma"/>
          <w:rFonts w:cstheme="minorHAnsi"/>
          <w:color w:val="000000" w:themeColor="text1"/>
          <w:shd w:val="clear" w:color="auto" w:fill="FFFFFF"/>
          <w:lang w:val="en-US"/>
        </w:rPr>
        <w:t>, </w:t>
      </w:r>
      <w:proofErr w:type="spellStart"/>
      <w:r w:rsidRPr="00C04639">
        <w:rPr>
          <w:rStyle w:val="authors-list-item"/>
          <w:rFonts w:cstheme="minorHAnsi"/>
          <w:color w:val="000000" w:themeColor="text1"/>
          <w:lang w:val="en-US"/>
        </w:rPr>
        <w:t>Szewzy</w:t>
      </w:r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>k</w:t>
      </w:r>
      <w:proofErr w:type="spellEnd"/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 xml:space="preserve"> U</w:t>
      </w:r>
      <w:r w:rsidRPr="00C04639">
        <w:rPr>
          <w:rStyle w:val="comma"/>
          <w:rFonts w:cstheme="minorHAnsi"/>
          <w:color w:val="000000" w:themeColor="text1"/>
          <w:shd w:val="clear" w:color="auto" w:fill="FFFFFF"/>
          <w:lang w:val="en-US"/>
        </w:rPr>
        <w:t>, </w:t>
      </w:r>
      <w:r w:rsidRPr="00C04639">
        <w:rPr>
          <w:rStyle w:val="authors-list-item"/>
          <w:rFonts w:cstheme="minorHAnsi"/>
          <w:color w:val="000000" w:themeColor="text1"/>
          <w:lang w:val="en-US"/>
        </w:rPr>
        <w:t>Werne</w:t>
      </w:r>
      <w:r w:rsidR="00F57188" w:rsidRPr="00C04639">
        <w:rPr>
          <w:rStyle w:val="authors-list-item"/>
          <w:rFonts w:cstheme="minorHAnsi"/>
          <w:color w:val="000000" w:themeColor="text1"/>
          <w:lang w:val="en-US"/>
        </w:rPr>
        <w:t>r G</w:t>
      </w:r>
      <w:r w:rsidRPr="00C04639">
        <w:rPr>
          <w:rFonts w:cstheme="minorHAnsi"/>
          <w:i/>
          <w:iCs/>
          <w:color w:val="000000" w:themeColor="text1"/>
          <w:lang w:val="en-US"/>
        </w:rPr>
        <w:t>.</w:t>
      </w:r>
      <w:r w:rsidRPr="00C04639">
        <w:rPr>
          <w:rFonts w:cstheme="minorHAnsi"/>
          <w:color w:val="000000" w:themeColor="text1"/>
          <w:lang w:val="en-US"/>
        </w:rPr>
        <w:t xml:space="preserve"> </w:t>
      </w:r>
      <w:r w:rsidR="00F57188" w:rsidRPr="00C04639">
        <w:rPr>
          <w:rFonts w:cstheme="minorHAnsi"/>
          <w:color w:val="000000" w:themeColor="text1"/>
          <w:lang w:val="en-US"/>
        </w:rPr>
        <w:t xml:space="preserve">Tigecycline resistance in clinical isolates of </w:t>
      </w:r>
      <w:r w:rsidR="00F57188" w:rsidRPr="00C04639">
        <w:rPr>
          <w:rFonts w:cstheme="minorHAnsi"/>
          <w:i/>
          <w:iCs/>
          <w:color w:val="000000" w:themeColor="text1"/>
          <w:lang w:val="en-US"/>
        </w:rPr>
        <w:t>Enterococcus faecium</w:t>
      </w:r>
      <w:r w:rsidR="00F57188" w:rsidRPr="00C04639">
        <w:rPr>
          <w:rFonts w:cstheme="minorHAnsi"/>
          <w:color w:val="000000" w:themeColor="text1"/>
          <w:lang w:val="en-US"/>
        </w:rPr>
        <w:t xml:space="preserve"> is mediated by an upregulation of plasmid-encoded tetracycline determinants </w:t>
      </w:r>
      <w:proofErr w:type="spellStart"/>
      <w:r w:rsidR="00F57188" w:rsidRPr="00C04639">
        <w:rPr>
          <w:rFonts w:cstheme="minorHAnsi"/>
          <w:i/>
          <w:iCs/>
          <w:color w:val="000000" w:themeColor="text1"/>
          <w:lang w:val="en-US"/>
        </w:rPr>
        <w:t>tet</w:t>
      </w:r>
      <w:proofErr w:type="spellEnd"/>
      <w:r w:rsidR="00F57188" w:rsidRPr="00C04639">
        <w:rPr>
          <w:rFonts w:cstheme="minorHAnsi"/>
          <w:i/>
          <w:iCs/>
          <w:color w:val="000000" w:themeColor="text1"/>
          <w:lang w:val="en-US"/>
        </w:rPr>
        <w:t>(L)</w:t>
      </w:r>
      <w:r w:rsidR="00F57188" w:rsidRPr="00C04639">
        <w:rPr>
          <w:rFonts w:cstheme="minorHAnsi"/>
          <w:color w:val="000000" w:themeColor="text1"/>
          <w:lang w:val="en-US"/>
        </w:rPr>
        <w:t xml:space="preserve"> and </w:t>
      </w:r>
      <w:proofErr w:type="spellStart"/>
      <w:r w:rsidR="00F57188" w:rsidRPr="00C04639">
        <w:rPr>
          <w:rFonts w:cstheme="minorHAnsi"/>
          <w:i/>
          <w:iCs/>
          <w:color w:val="000000" w:themeColor="text1"/>
          <w:lang w:val="en-US"/>
        </w:rPr>
        <w:t>tet</w:t>
      </w:r>
      <w:proofErr w:type="spellEnd"/>
      <w:r w:rsidR="00F57188" w:rsidRPr="00C04639">
        <w:rPr>
          <w:rFonts w:cstheme="minorHAnsi"/>
          <w:i/>
          <w:iCs/>
          <w:color w:val="000000" w:themeColor="text1"/>
          <w:lang w:val="en-US"/>
        </w:rPr>
        <w:t>(M).</w:t>
      </w:r>
      <w:r w:rsidR="00F57188" w:rsidRPr="00C04639">
        <w:rPr>
          <w:rFonts w:cstheme="minorHAnsi"/>
          <w:color w:val="000000" w:themeColor="text1"/>
          <w:lang w:val="en-US"/>
        </w:rPr>
        <w:t xml:space="preserve"> J </w:t>
      </w:r>
      <w:proofErr w:type="spellStart"/>
      <w:r w:rsidR="00F57188" w:rsidRPr="00C04639">
        <w:rPr>
          <w:rFonts w:cstheme="minorHAnsi"/>
          <w:color w:val="000000" w:themeColor="text1"/>
          <w:lang w:val="en-US"/>
        </w:rPr>
        <w:t>Antimicrob</w:t>
      </w:r>
      <w:proofErr w:type="spellEnd"/>
      <w:r w:rsidR="00F57188" w:rsidRPr="00C04639">
        <w:rPr>
          <w:rFonts w:cstheme="minorHAnsi"/>
          <w:color w:val="000000" w:themeColor="text1"/>
          <w:lang w:val="en-US"/>
        </w:rPr>
        <w:t xml:space="preserve"> Chemother</w:t>
      </w:r>
      <w:r w:rsidRPr="00C04639">
        <w:rPr>
          <w:rFonts w:cstheme="minorHAnsi"/>
          <w:color w:val="000000" w:themeColor="text1"/>
          <w:lang w:val="en-US"/>
        </w:rPr>
        <w:t xml:space="preserve"> </w:t>
      </w:r>
      <w:proofErr w:type="gramStart"/>
      <w:r w:rsidRPr="00C04639">
        <w:rPr>
          <w:rFonts w:cstheme="minorHAnsi"/>
          <w:color w:val="000000" w:themeColor="text1"/>
          <w:lang w:val="en-US"/>
        </w:rPr>
        <w:t>2016;71:871</w:t>
      </w:r>
      <w:proofErr w:type="gramEnd"/>
      <w:r w:rsidRPr="00C04639">
        <w:rPr>
          <w:rFonts w:cstheme="minorHAnsi"/>
          <w:color w:val="000000" w:themeColor="text1"/>
          <w:lang w:val="en-US"/>
        </w:rPr>
        <w:t>-81</w:t>
      </w:r>
      <w:r w:rsidR="00F57188" w:rsidRPr="00C04639">
        <w:rPr>
          <w:rFonts w:cstheme="minorHAnsi"/>
          <w:color w:val="000000" w:themeColor="text1"/>
          <w:lang w:val="en-US"/>
        </w:rPr>
        <w:t>.</w:t>
      </w:r>
    </w:p>
    <w:p w14:paraId="1B28B899" w14:textId="2B6B198A" w:rsidR="00F57188" w:rsidRPr="00C04639" w:rsidRDefault="00903EED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  <w:r w:rsidRPr="00C04639">
        <w:rPr>
          <w:rFonts w:cstheme="minorHAnsi"/>
          <w:color w:val="000000" w:themeColor="text1"/>
          <w:lang w:val="en-US"/>
        </w:rPr>
        <w:t>8</w:t>
      </w:r>
      <w:r w:rsidR="008C4CEA" w:rsidRPr="00C04639">
        <w:rPr>
          <w:rFonts w:cstheme="minorHAnsi"/>
          <w:color w:val="000000" w:themeColor="text1"/>
          <w:lang w:val="en-US"/>
        </w:rPr>
        <w:t xml:space="preserve">. </w:t>
      </w:r>
      <w:r w:rsidR="00F57188" w:rsidRPr="00C04639">
        <w:rPr>
          <w:rFonts w:cstheme="minorHAnsi"/>
          <w:color w:val="000000" w:themeColor="text1"/>
          <w:lang w:val="en-US"/>
        </w:rPr>
        <w:tab/>
      </w:r>
      <w:r w:rsidRPr="00C04639">
        <w:rPr>
          <w:rFonts w:cstheme="minorHAnsi"/>
          <w:color w:val="000000" w:themeColor="text1"/>
          <w:lang w:val="en-US"/>
        </w:rPr>
        <w:t xml:space="preserve">Bender JK, </w:t>
      </w:r>
      <w:proofErr w:type="spellStart"/>
      <w:r w:rsidRPr="00C04639">
        <w:rPr>
          <w:rFonts w:cstheme="minorHAnsi"/>
          <w:color w:val="000000" w:themeColor="text1"/>
          <w:lang w:val="en-US"/>
        </w:rPr>
        <w:t>Cattoir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V, Hegstad K, </w:t>
      </w:r>
      <w:proofErr w:type="spellStart"/>
      <w:r w:rsidRPr="00C04639">
        <w:rPr>
          <w:rFonts w:cstheme="minorHAnsi"/>
          <w:color w:val="000000" w:themeColor="text1"/>
          <w:lang w:val="en-US"/>
        </w:rPr>
        <w:t>Sadowy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E, </w:t>
      </w:r>
      <w:proofErr w:type="spellStart"/>
      <w:r w:rsidRPr="00C04639">
        <w:rPr>
          <w:rFonts w:cstheme="minorHAnsi"/>
          <w:color w:val="000000" w:themeColor="text1"/>
          <w:lang w:val="en-US"/>
        </w:rPr>
        <w:t>Coque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TM, </w:t>
      </w:r>
      <w:proofErr w:type="spellStart"/>
      <w:r w:rsidRPr="00C04639">
        <w:rPr>
          <w:rFonts w:cstheme="minorHAnsi"/>
          <w:color w:val="000000" w:themeColor="text1"/>
          <w:lang w:val="en-US"/>
        </w:rPr>
        <w:t>Westh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H, </w:t>
      </w:r>
      <w:proofErr w:type="spellStart"/>
      <w:r w:rsidRPr="00C04639">
        <w:rPr>
          <w:rFonts w:cstheme="minorHAnsi"/>
          <w:color w:val="000000" w:themeColor="text1"/>
          <w:lang w:val="en-US"/>
        </w:rPr>
        <w:t>Hammerum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AM, Schaffer K, Burns K, </w:t>
      </w:r>
      <w:proofErr w:type="spellStart"/>
      <w:r w:rsidRPr="00C04639">
        <w:rPr>
          <w:rFonts w:cstheme="minorHAnsi"/>
          <w:color w:val="000000" w:themeColor="text1"/>
          <w:lang w:val="en-US"/>
        </w:rPr>
        <w:t>Murchan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S, </w:t>
      </w:r>
      <w:proofErr w:type="spellStart"/>
      <w:r w:rsidRPr="00C04639">
        <w:rPr>
          <w:rFonts w:cstheme="minorHAnsi"/>
          <w:color w:val="000000" w:themeColor="text1"/>
          <w:lang w:val="en-US"/>
        </w:rPr>
        <w:t>Novais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C, Freitas AR, </w:t>
      </w:r>
      <w:proofErr w:type="spellStart"/>
      <w:r w:rsidRPr="00C04639">
        <w:rPr>
          <w:rFonts w:cstheme="minorHAnsi"/>
          <w:color w:val="000000" w:themeColor="text1"/>
          <w:lang w:val="en-US"/>
        </w:rPr>
        <w:t>Peixe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L, Del Grosso M, </w:t>
      </w:r>
      <w:proofErr w:type="spellStart"/>
      <w:r w:rsidRPr="00C04639">
        <w:rPr>
          <w:rFonts w:cstheme="minorHAnsi"/>
          <w:color w:val="000000" w:themeColor="text1"/>
          <w:lang w:val="en-US"/>
        </w:rPr>
        <w:t>Pantosti</w:t>
      </w:r>
      <w:proofErr w:type="spellEnd"/>
      <w:r w:rsidRPr="00C04639">
        <w:rPr>
          <w:rFonts w:cstheme="minorHAnsi"/>
          <w:color w:val="000000" w:themeColor="text1"/>
          <w:lang w:val="en-US"/>
        </w:rPr>
        <w:t xml:space="preserve"> A, Werner </w:t>
      </w:r>
      <w:r w:rsidRPr="00C04639">
        <w:rPr>
          <w:rFonts w:cstheme="minorHAnsi"/>
          <w:lang w:val="en-US"/>
        </w:rPr>
        <w:t xml:space="preserve">G. Update on prevalence and mechanisms of resistance to linezolid, tigecycline and daptomycin in enterococci in Europe: towards a common nomenclature. Drug Resist </w:t>
      </w:r>
      <w:proofErr w:type="spellStart"/>
      <w:r w:rsidRPr="00C04639">
        <w:rPr>
          <w:rFonts w:cstheme="minorHAnsi"/>
          <w:lang w:val="en-US"/>
        </w:rPr>
        <w:t>Updat</w:t>
      </w:r>
      <w:proofErr w:type="spellEnd"/>
      <w:r w:rsidRPr="00C04639">
        <w:rPr>
          <w:rFonts w:cstheme="minorHAnsi"/>
          <w:lang w:val="en-US"/>
        </w:rPr>
        <w:t xml:space="preserve">. </w:t>
      </w:r>
      <w:proofErr w:type="gramStart"/>
      <w:r w:rsidRPr="00C04639">
        <w:rPr>
          <w:rFonts w:cstheme="minorHAnsi"/>
          <w:lang w:val="en-US"/>
        </w:rPr>
        <w:t>2018;40:25</w:t>
      </w:r>
      <w:proofErr w:type="gramEnd"/>
      <w:r w:rsidRPr="00C04639">
        <w:rPr>
          <w:rFonts w:cstheme="minorHAnsi"/>
          <w:lang w:val="en-US"/>
        </w:rPr>
        <w:t>-39.</w:t>
      </w:r>
    </w:p>
    <w:p w14:paraId="6C03127E" w14:textId="6B5B2C25" w:rsidR="00903EED" w:rsidRPr="00C04639" w:rsidRDefault="00903EED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  <w:r w:rsidRPr="00C04639">
        <w:rPr>
          <w:rFonts w:cstheme="minorHAnsi"/>
          <w:lang w:val="en-US"/>
        </w:rPr>
        <w:t>9.</w:t>
      </w:r>
      <w:r w:rsidR="00F57188" w:rsidRPr="00C04639">
        <w:rPr>
          <w:rFonts w:cstheme="minorHAnsi"/>
          <w:lang w:val="en-US"/>
        </w:rPr>
        <w:t xml:space="preserve"> </w:t>
      </w:r>
      <w:r w:rsidR="00F57188" w:rsidRPr="00C04639">
        <w:rPr>
          <w:rFonts w:cstheme="minorHAnsi"/>
          <w:lang w:val="en-US"/>
        </w:rPr>
        <w:tab/>
      </w:r>
      <w:proofErr w:type="spellStart"/>
      <w:r w:rsidR="00F57188" w:rsidRPr="00C04639">
        <w:rPr>
          <w:color w:val="000000" w:themeColor="text1"/>
          <w:lang w:val="en-US"/>
        </w:rPr>
        <w:t>Brenciani</w:t>
      </w:r>
      <w:proofErr w:type="spellEnd"/>
      <w:r w:rsidR="00F57188" w:rsidRPr="00C04639">
        <w:rPr>
          <w:color w:val="000000" w:themeColor="text1"/>
          <w:lang w:val="en-US"/>
        </w:rPr>
        <w:t xml:space="preserve"> A, </w:t>
      </w:r>
      <w:proofErr w:type="spellStart"/>
      <w:r w:rsidR="00F57188" w:rsidRPr="00C04639">
        <w:rPr>
          <w:color w:val="000000" w:themeColor="text1"/>
          <w:lang w:val="en-US"/>
        </w:rPr>
        <w:t>Fioriti</w:t>
      </w:r>
      <w:proofErr w:type="spellEnd"/>
      <w:r w:rsidR="00F57188" w:rsidRPr="00C04639">
        <w:rPr>
          <w:color w:val="000000" w:themeColor="text1"/>
          <w:lang w:val="en-US"/>
        </w:rPr>
        <w:t xml:space="preserve"> S, </w:t>
      </w:r>
      <w:proofErr w:type="spellStart"/>
      <w:r w:rsidR="00F57188" w:rsidRPr="00C04639">
        <w:rPr>
          <w:color w:val="000000" w:themeColor="text1"/>
          <w:lang w:val="en-US"/>
        </w:rPr>
        <w:t>Morroni</w:t>
      </w:r>
      <w:proofErr w:type="spellEnd"/>
      <w:r w:rsidR="00F57188" w:rsidRPr="00C04639">
        <w:rPr>
          <w:color w:val="000000" w:themeColor="text1"/>
          <w:lang w:val="en-US"/>
        </w:rPr>
        <w:t xml:space="preserve"> G, </w:t>
      </w:r>
      <w:proofErr w:type="spellStart"/>
      <w:r w:rsidR="00F57188" w:rsidRPr="00C04639">
        <w:rPr>
          <w:color w:val="000000" w:themeColor="text1"/>
          <w:lang w:val="en-US"/>
        </w:rPr>
        <w:t>Cucco</w:t>
      </w:r>
      <w:proofErr w:type="spellEnd"/>
      <w:r w:rsidR="00F57188" w:rsidRPr="00C04639">
        <w:rPr>
          <w:color w:val="000000" w:themeColor="text1"/>
          <w:lang w:val="en-US"/>
        </w:rPr>
        <w:t xml:space="preserve"> L, Morelli A, </w:t>
      </w:r>
      <w:proofErr w:type="spellStart"/>
      <w:r w:rsidR="00F57188" w:rsidRPr="00C04639">
        <w:rPr>
          <w:color w:val="000000" w:themeColor="text1"/>
          <w:lang w:val="en-US"/>
        </w:rPr>
        <w:t>Pezzotti</w:t>
      </w:r>
      <w:proofErr w:type="spellEnd"/>
      <w:r w:rsidR="00F57188" w:rsidRPr="00C04639">
        <w:rPr>
          <w:color w:val="000000" w:themeColor="text1"/>
          <w:lang w:val="en-US"/>
        </w:rPr>
        <w:t xml:space="preserve"> G, </w:t>
      </w:r>
      <w:proofErr w:type="spellStart"/>
      <w:r w:rsidR="00F57188" w:rsidRPr="00C04639">
        <w:rPr>
          <w:color w:val="000000" w:themeColor="text1"/>
          <w:lang w:val="en-US"/>
        </w:rPr>
        <w:t>Paniccià</w:t>
      </w:r>
      <w:proofErr w:type="spellEnd"/>
      <w:r w:rsidR="00F57188" w:rsidRPr="00C04639">
        <w:rPr>
          <w:color w:val="000000" w:themeColor="text1"/>
          <w:lang w:val="en-US"/>
        </w:rPr>
        <w:t xml:space="preserve"> M, Antonelli A, </w:t>
      </w:r>
      <w:proofErr w:type="spellStart"/>
      <w:r w:rsidR="00F57188" w:rsidRPr="00C04639">
        <w:rPr>
          <w:color w:val="000000" w:themeColor="text1"/>
          <w:lang w:val="en-US"/>
        </w:rPr>
        <w:t>Magistrali</w:t>
      </w:r>
      <w:proofErr w:type="spellEnd"/>
      <w:r w:rsidR="00F57188" w:rsidRPr="00C04639">
        <w:rPr>
          <w:color w:val="000000" w:themeColor="text1"/>
          <w:lang w:val="en-US"/>
        </w:rPr>
        <w:t xml:space="preserve"> CF, </w:t>
      </w:r>
      <w:proofErr w:type="spellStart"/>
      <w:r w:rsidR="00F57188" w:rsidRPr="00C04639">
        <w:rPr>
          <w:color w:val="000000" w:themeColor="text1"/>
          <w:lang w:val="en-US"/>
        </w:rPr>
        <w:t>Rossolini</w:t>
      </w:r>
      <w:proofErr w:type="spellEnd"/>
      <w:r w:rsidR="00F57188" w:rsidRPr="00C04639">
        <w:rPr>
          <w:color w:val="000000" w:themeColor="text1"/>
          <w:lang w:val="en-US"/>
        </w:rPr>
        <w:t xml:space="preserve"> GM, </w:t>
      </w:r>
      <w:proofErr w:type="spellStart"/>
      <w:r w:rsidR="00F57188" w:rsidRPr="00C04639">
        <w:rPr>
          <w:color w:val="000000" w:themeColor="text1"/>
          <w:lang w:val="en-US"/>
        </w:rPr>
        <w:t>Giovanetti</w:t>
      </w:r>
      <w:proofErr w:type="spellEnd"/>
      <w:r w:rsidR="00F57188" w:rsidRPr="00C04639">
        <w:rPr>
          <w:color w:val="000000" w:themeColor="text1"/>
          <w:lang w:val="en-US"/>
        </w:rPr>
        <w:t xml:space="preserve"> E. Detection in Italy of a porcine </w:t>
      </w:r>
      <w:r w:rsidR="00F57188" w:rsidRPr="00C04639">
        <w:rPr>
          <w:i/>
          <w:color w:val="000000" w:themeColor="text1"/>
          <w:lang w:val="en-US"/>
        </w:rPr>
        <w:t>Enterococcus faecium</w:t>
      </w:r>
      <w:r w:rsidR="00F57188" w:rsidRPr="00C04639">
        <w:rPr>
          <w:color w:val="000000" w:themeColor="text1"/>
          <w:lang w:val="en-US"/>
        </w:rPr>
        <w:t xml:space="preserve"> isolate carrying the novel phenicol-oxazolidinone-tetracycline resistance gene </w:t>
      </w:r>
      <w:proofErr w:type="spellStart"/>
      <w:r w:rsidR="00F57188" w:rsidRPr="00C04639">
        <w:rPr>
          <w:i/>
          <w:color w:val="000000" w:themeColor="text1"/>
          <w:lang w:val="en-US"/>
        </w:rPr>
        <w:t>poxtA</w:t>
      </w:r>
      <w:proofErr w:type="spellEnd"/>
      <w:r w:rsidR="00F57188" w:rsidRPr="00C04639">
        <w:rPr>
          <w:color w:val="000000" w:themeColor="text1"/>
          <w:lang w:val="en-US"/>
        </w:rPr>
        <w:t xml:space="preserve">. J </w:t>
      </w:r>
      <w:proofErr w:type="spellStart"/>
      <w:r w:rsidR="00F57188" w:rsidRPr="00C04639">
        <w:rPr>
          <w:color w:val="000000" w:themeColor="text1"/>
          <w:lang w:val="en-US"/>
        </w:rPr>
        <w:t>Antimicrob</w:t>
      </w:r>
      <w:proofErr w:type="spellEnd"/>
      <w:r w:rsidR="00F57188" w:rsidRPr="00C04639">
        <w:rPr>
          <w:color w:val="000000" w:themeColor="text1"/>
          <w:lang w:val="en-US"/>
        </w:rPr>
        <w:t xml:space="preserve"> Chemother </w:t>
      </w:r>
      <w:proofErr w:type="gramStart"/>
      <w:r w:rsidR="00F57188" w:rsidRPr="00C04639">
        <w:rPr>
          <w:color w:val="000000" w:themeColor="text1"/>
          <w:lang w:val="en-US"/>
        </w:rPr>
        <w:t>2019;74:817</w:t>
      </w:r>
      <w:proofErr w:type="gramEnd"/>
      <w:r w:rsidR="00F57188" w:rsidRPr="00C04639">
        <w:rPr>
          <w:color w:val="000000" w:themeColor="text1"/>
          <w:lang w:val="en-US"/>
        </w:rPr>
        <w:t xml:space="preserve">-8. </w:t>
      </w:r>
    </w:p>
    <w:p w14:paraId="3D91299C" w14:textId="0B3BB93A" w:rsidR="00903EED" w:rsidRPr="00C04639" w:rsidRDefault="00903EED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  <w:r w:rsidRPr="00C04639">
        <w:rPr>
          <w:rFonts w:cstheme="minorHAnsi"/>
          <w:lang w:val="en-US"/>
        </w:rPr>
        <w:t>10.</w:t>
      </w:r>
      <w:r w:rsidR="00F57188" w:rsidRPr="00C04639">
        <w:rPr>
          <w:rFonts w:cstheme="minorHAnsi"/>
          <w:lang w:val="en-US"/>
        </w:rPr>
        <w:tab/>
      </w:r>
      <w:r w:rsidR="00412FE7" w:rsidRPr="00C04639">
        <w:rPr>
          <w:color w:val="000000" w:themeColor="text1"/>
          <w:lang w:val="en-US"/>
        </w:rPr>
        <w:t>Crowe-McAuliffe C,</w:t>
      </w:r>
      <w:r w:rsidR="00412FE7" w:rsidRPr="00C04639">
        <w:rPr>
          <w:color w:val="000000" w:themeColor="text1"/>
          <w:vertAlign w:val="superscript"/>
          <w:lang w:val="en-US"/>
        </w:rPr>
        <w:t xml:space="preserve"> </w:t>
      </w:r>
      <w:proofErr w:type="spellStart"/>
      <w:r w:rsidR="00412FE7" w:rsidRPr="00C04639">
        <w:rPr>
          <w:color w:val="000000" w:themeColor="text1"/>
          <w:lang w:val="en-US"/>
        </w:rPr>
        <w:t>Murina</w:t>
      </w:r>
      <w:proofErr w:type="spellEnd"/>
      <w:r w:rsidR="00412FE7" w:rsidRPr="00C04639">
        <w:rPr>
          <w:color w:val="000000" w:themeColor="text1"/>
          <w:lang w:val="en-US"/>
        </w:rPr>
        <w:t xml:space="preserve"> V, Turnbull KJ, </w:t>
      </w:r>
      <w:proofErr w:type="spellStart"/>
      <w:r w:rsidR="00412FE7" w:rsidRPr="00C04639">
        <w:rPr>
          <w:color w:val="000000" w:themeColor="text1"/>
          <w:lang w:val="en-US"/>
        </w:rPr>
        <w:t>Huch</w:t>
      </w:r>
      <w:proofErr w:type="spellEnd"/>
      <w:r w:rsidR="00412FE7" w:rsidRPr="00C04639">
        <w:rPr>
          <w:color w:val="000000" w:themeColor="text1"/>
          <w:lang w:val="en-US"/>
        </w:rPr>
        <w:t xml:space="preserve"> S, </w:t>
      </w:r>
      <w:proofErr w:type="spellStart"/>
      <w:r w:rsidR="00412FE7" w:rsidRPr="00C04639">
        <w:rPr>
          <w:color w:val="000000" w:themeColor="text1"/>
          <w:lang w:val="en-US"/>
        </w:rPr>
        <w:t>Kasari</w:t>
      </w:r>
      <w:proofErr w:type="spellEnd"/>
      <w:r w:rsidR="00412FE7" w:rsidRPr="00C04639">
        <w:rPr>
          <w:color w:val="000000" w:themeColor="text1"/>
          <w:lang w:val="en-US"/>
        </w:rPr>
        <w:t xml:space="preserve"> M, Takada H, </w:t>
      </w:r>
      <w:proofErr w:type="spellStart"/>
      <w:r w:rsidR="00412FE7" w:rsidRPr="00C04639">
        <w:rPr>
          <w:color w:val="000000" w:themeColor="text1"/>
          <w:lang w:val="en-US"/>
        </w:rPr>
        <w:t>Nersisyan</w:t>
      </w:r>
      <w:proofErr w:type="spellEnd"/>
      <w:r w:rsidR="00412FE7" w:rsidRPr="00C04639">
        <w:rPr>
          <w:color w:val="000000" w:themeColor="text1"/>
          <w:lang w:val="en-US"/>
        </w:rPr>
        <w:t xml:space="preserve"> L, Sundsfjord A, Hegstad K, Atkinson GC, </w:t>
      </w:r>
      <w:proofErr w:type="spellStart"/>
      <w:r w:rsidR="00412FE7" w:rsidRPr="00C04639">
        <w:rPr>
          <w:color w:val="000000" w:themeColor="text1"/>
          <w:lang w:val="en-US"/>
        </w:rPr>
        <w:t>Pelechano</w:t>
      </w:r>
      <w:proofErr w:type="spellEnd"/>
      <w:r w:rsidR="00412FE7" w:rsidRPr="00C04639">
        <w:rPr>
          <w:color w:val="000000" w:themeColor="text1"/>
          <w:lang w:val="en-US"/>
        </w:rPr>
        <w:t xml:space="preserve"> V, Wilson DN, </w:t>
      </w:r>
      <w:proofErr w:type="spellStart"/>
      <w:r w:rsidR="00412FE7" w:rsidRPr="00C04639">
        <w:rPr>
          <w:color w:val="000000" w:themeColor="text1"/>
          <w:lang w:val="en-US"/>
        </w:rPr>
        <w:t>Hauryliuk</w:t>
      </w:r>
      <w:proofErr w:type="spellEnd"/>
      <w:r w:rsidR="00412FE7" w:rsidRPr="00C04639">
        <w:rPr>
          <w:color w:val="000000" w:themeColor="text1"/>
          <w:lang w:val="en-US"/>
        </w:rPr>
        <w:t xml:space="preserve"> V. </w:t>
      </w:r>
      <w:r w:rsidR="00412FE7" w:rsidRPr="00C04639">
        <w:rPr>
          <w:color w:val="000000" w:themeColor="text1"/>
          <w:shd w:val="clear" w:color="auto" w:fill="FFFFFF"/>
          <w:lang w:val="en-US"/>
        </w:rPr>
        <w:t xml:space="preserve">Structural basis for </w:t>
      </w:r>
      <w:proofErr w:type="spellStart"/>
      <w:r w:rsidR="00412FE7" w:rsidRPr="00C04639">
        <w:rPr>
          <w:color w:val="000000" w:themeColor="text1"/>
          <w:shd w:val="clear" w:color="auto" w:fill="FFFFFF"/>
          <w:lang w:val="en-US"/>
        </w:rPr>
        <w:t>PoxtA</w:t>
      </w:r>
      <w:proofErr w:type="spellEnd"/>
      <w:r w:rsidR="00412FE7" w:rsidRPr="00C04639">
        <w:rPr>
          <w:color w:val="000000" w:themeColor="text1"/>
          <w:shd w:val="clear" w:color="auto" w:fill="FFFFFF"/>
          <w:lang w:val="en-US"/>
        </w:rPr>
        <w:t>-mediated resistance to phenicol and oxazolidinone antibiotics</w:t>
      </w:r>
      <w:r w:rsidR="00412FE7" w:rsidRPr="00C04639">
        <w:rPr>
          <w:color w:val="000000" w:themeColor="text1"/>
          <w:lang w:val="en-US" w:eastAsia="en-GB"/>
        </w:rPr>
        <w:t xml:space="preserve">. Nature Comm </w:t>
      </w:r>
      <w:proofErr w:type="gramStart"/>
      <w:r w:rsidR="00412FE7" w:rsidRPr="00C04639">
        <w:rPr>
          <w:color w:val="000000" w:themeColor="text1"/>
          <w:lang w:val="en-US" w:eastAsia="en-GB"/>
        </w:rPr>
        <w:t>2022;</w:t>
      </w:r>
      <w:r w:rsidR="00412FE7" w:rsidRPr="00C04639">
        <w:rPr>
          <w:lang w:val="en-US"/>
        </w:rPr>
        <w:t>13:1860</w:t>
      </w:r>
      <w:proofErr w:type="gramEnd"/>
      <w:r w:rsidR="00412FE7" w:rsidRPr="00C04639">
        <w:rPr>
          <w:lang w:val="en-US"/>
        </w:rPr>
        <w:t>.</w:t>
      </w:r>
    </w:p>
    <w:p w14:paraId="2F3F60C6" w14:textId="77777777" w:rsidR="00803B91" w:rsidRDefault="00803B91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</w:p>
    <w:p w14:paraId="47E9972F" w14:textId="77777777" w:rsidR="00803B91" w:rsidRDefault="00803B91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</w:p>
    <w:p w14:paraId="010BF95A" w14:textId="77777777" w:rsidR="00803B91" w:rsidRDefault="00803B91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</w:p>
    <w:p w14:paraId="4561313D" w14:textId="1F184496" w:rsidR="009872FD" w:rsidRPr="00F57188" w:rsidRDefault="00903EED" w:rsidP="00F57188">
      <w:pPr>
        <w:pStyle w:val="Listeavsnitt"/>
        <w:tabs>
          <w:tab w:val="left" w:pos="567"/>
        </w:tabs>
        <w:ind w:left="567" w:hanging="425"/>
        <w:jc w:val="both"/>
        <w:rPr>
          <w:rFonts w:cstheme="minorHAnsi"/>
          <w:lang w:val="en-US"/>
        </w:rPr>
      </w:pPr>
      <w:r w:rsidRPr="00C04639">
        <w:rPr>
          <w:rFonts w:cstheme="minorHAnsi"/>
          <w:lang w:val="en-US"/>
        </w:rPr>
        <w:t>11</w:t>
      </w:r>
      <w:r w:rsidR="008C4CEA" w:rsidRPr="00C04639">
        <w:rPr>
          <w:rFonts w:cstheme="minorHAnsi"/>
          <w:lang w:val="en-US"/>
        </w:rPr>
        <w:t xml:space="preserve">. </w:t>
      </w:r>
      <w:r w:rsidR="00F57188" w:rsidRPr="00C04639">
        <w:rPr>
          <w:rFonts w:cstheme="minorHAnsi"/>
          <w:lang w:val="en-US"/>
        </w:rPr>
        <w:tab/>
      </w:r>
      <w:r w:rsidR="009872FD" w:rsidRPr="00C04639">
        <w:rPr>
          <w:rFonts w:cstheme="minorHAnsi"/>
          <w:lang w:val="en-US"/>
        </w:rPr>
        <w:t xml:space="preserve">Haldorsen B, </w:t>
      </w:r>
      <w:proofErr w:type="spellStart"/>
      <w:r w:rsidR="009872FD" w:rsidRPr="00C04639">
        <w:rPr>
          <w:rFonts w:cstheme="minorHAnsi"/>
          <w:lang w:val="en-US"/>
        </w:rPr>
        <w:t>Matuschek</w:t>
      </w:r>
      <w:proofErr w:type="spellEnd"/>
      <w:r w:rsidR="009872FD" w:rsidRPr="00C04639">
        <w:rPr>
          <w:rFonts w:cstheme="minorHAnsi"/>
          <w:lang w:val="en-US"/>
        </w:rPr>
        <w:t xml:space="preserve"> E, </w:t>
      </w:r>
      <w:proofErr w:type="spellStart"/>
      <w:r w:rsidR="009872FD" w:rsidRPr="00C04639">
        <w:rPr>
          <w:rFonts w:cstheme="minorHAnsi"/>
          <w:lang w:val="en-US"/>
        </w:rPr>
        <w:t>Åhman</w:t>
      </w:r>
      <w:proofErr w:type="spellEnd"/>
      <w:r w:rsidR="009872FD" w:rsidRPr="00C04639">
        <w:rPr>
          <w:rFonts w:cstheme="minorHAnsi"/>
          <w:lang w:val="en-US"/>
        </w:rPr>
        <w:t xml:space="preserve"> J, </w:t>
      </w:r>
      <w:proofErr w:type="spellStart"/>
      <w:r w:rsidR="00485274" w:rsidRPr="00C04639">
        <w:rPr>
          <w:rFonts w:cstheme="minorHAnsi"/>
          <w:lang w:val="en-US"/>
        </w:rPr>
        <w:t>Ka</w:t>
      </w:r>
      <w:r w:rsidR="009872FD" w:rsidRPr="00C04639">
        <w:rPr>
          <w:rFonts w:cstheme="minorHAnsi"/>
          <w:lang w:val="en-US"/>
        </w:rPr>
        <w:t>hlmeter</w:t>
      </w:r>
      <w:proofErr w:type="spellEnd"/>
      <w:r w:rsidR="009872FD" w:rsidRPr="00C04639">
        <w:rPr>
          <w:rFonts w:cstheme="minorHAnsi"/>
          <w:lang w:val="en-US"/>
        </w:rPr>
        <w:t xml:space="preserve"> G, Sundsfjord </w:t>
      </w:r>
      <w:r w:rsidR="00485274" w:rsidRPr="00C04639">
        <w:rPr>
          <w:rFonts w:cstheme="minorHAnsi"/>
          <w:lang w:val="en-US"/>
        </w:rPr>
        <w:t>A</w:t>
      </w:r>
      <w:r w:rsidR="009872FD" w:rsidRPr="00C04639">
        <w:rPr>
          <w:rFonts w:cstheme="minorHAnsi"/>
          <w:lang w:val="en-US"/>
        </w:rPr>
        <w:t>, Hegstad</w:t>
      </w:r>
      <w:r w:rsidR="00485274" w:rsidRPr="00C04639">
        <w:rPr>
          <w:rFonts w:cstheme="minorHAnsi"/>
          <w:lang w:val="en-US"/>
        </w:rPr>
        <w:t xml:space="preserve"> K. </w:t>
      </w:r>
      <w:r w:rsidR="009872FD" w:rsidRPr="00C04639">
        <w:rPr>
          <w:rFonts w:cstheme="minorHAnsi"/>
          <w:lang w:val="en-US"/>
        </w:rPr>
        <w:t xml:space="preserve">Performance of the EUCAST disc diffusion method and gradient tests in detection of linezolid susceptibility in </w:t>
      </w:r>
      <w:r w:rsidR="009872FD" w:rsidRPr="00C04639">
        <w:rPr>
          <w:rFonts w:cstheme="minorHAnsi"/>
          <w:i/>
          <w:iCs/>
          <w:lang w:val="en-US"/>
        </w:rPr>
        <w:t>Enterococcus faecalis</w:t>
      </w:r>
      <w:r w:rsidR="009872FD" w:rsidRPr="00C04639">
        <w:rPr>
          <w:rFonts w:cstheme="minorHAnsi"/>
          <w:lang w:val="en-US"/>
        </w:rPr>
        <w:t xml:space="preserve"> and </w:t>
      </w:r>
      <w:r w:rsidR="009872FD" w:rsidRPr="00C04639">
        <w:rPr>
          <w:rFonts w:cstheme="minorHAnsi"/>
          <w:i/>
          <w:iCs/>
          <w:lang w:val="en-US"/>
        </w:rPr>
        <w:t>Enterococcus faecium</w:t>
      </w:r>
      <w:r w:rsidR="00485274" w:rsidRPr="00C04639">
        <w:rPr>
          <w:rFonts w:cstheme="minorHAnsi"/>
          <w:lang w:val="en-US"/>
        </w:rPr>
        <w:t xml:space="preserve">. Poster </w:t>
      </w:r>
      <w:r w:rsidR="00464EFA" w:rsidRPr="00C04639">
        <w:rPr>
          <w:rFonts w:cstheme="minorHAnsi"/>
          <w:lang w:val="en-US"/>
        </w:rPr>
        <w:t>3074, ECCMID 2021.</w:t>
      </w:r>
    </w:p>
    <w:p w14:paraId="498DCB92" w14:textId="3FF32405" w:rsidR="001E58CE" w:rsidRPr="00FF1132" w:rsidRDefault="00903EED" w:rsidP="00F57188">
      <w:pPr>
        <w:pStyle w:val="Listeavsnitt"/>
        <w:tabs>
          <w:tab w:val="left" w:pos="567"/>
        </w:tabs>
        <w:ind w:left="567" w:hanging="425"/>
        <w:jc w:val="both"/>
        <w:rPr>
          <w:lang w:val="en-US"/>
        </w:rPr>
      </w:pPr>
      <w:r w:rsidRPr="00F57188">
        <w:rPr>
          <w:rFonts w:cstheme="minorHAnsi"/>
          <w:lang w:val="en-US"/>
        </w:rPr>
        <w:t>12</w:t>
      </w:r>
      <w:r w:rsidR="001E58CE" w:rsidRPr="00F57188">
        <w:rPr>
          <w:rFonts w:cstheme="minorHAnsi"/>
          <w:lang w:val="en-US"/>
        </w:rPr>
        <w:t>.</w:t>
      </w:r>
      <w:r w:rsidR="00FF1132" w:rsidRPr="00F57188">
        <w:rPr>
          <w:rFonts w:cstheme="minorHAnsi"/>
          <w:lang w:val="en-US"/>
        </w:rPr>
        <w:t xml:space="preserve"> </w:t>
      </w:r>
      <w:r w:rsidR="00F57188">
        <w:rPr>
          <w:rFonts w:cstheme="minorHAnsi"/>
          <w:lang w:val="en-US"/>
        </w:rPr>
        <w:tab/>
      </w:r>
      <w:proofErr w:type="spellStart"/>
      <w:r w:rsidR="001E58CE" w:rsidRPr="00F57188">
        <w:rPr>
          <w:rFonts w:cstheme="minorHAnsi"/>
          <w:lang w:val="en-US"/>
        </w:rPr>
        <w:t>Dejoies</w:t>
      </w:r>
      <w:proofErr w:type="spellEnd"/>
      <w:r w:rsidR="001E58CE" w:rsidRPr="00F57188">
        <w:rPr>
          <w:rFonts w:cstheme="minorHAnsi"/>
          <w:lang w:val="en-US"/>
        </w:rPr>
        <w:t xml:space="preserve"> L, </w:t>
      </w:r>
      <w:proofErr w:type="spellStart"/>
      <w:r w:rsidR="001E58CE" w:rsidRPr="00F57188">
        <w:rPr>
          <w:rFonts w:cstheme="minorHAnsi"/>
          <w:lang w:val="en-US"/>
        </w:rPr>
        <w:t>Boukthir</w:t>
      </w:r>
      <w:proofErr w:type="spellEnd"/>
      <w:r w:rsidR="001E58CE" w:rsidRPr="00F57188">
        <w:rPr>
          <w:rFonts w:cstheme="minorHAnsi"/>
          <w:lang w:val="en-US"/>
        </w:rPr>
        <w:t xml:space="preserve"> S, </w:t>
      </w:r>
      <w:proofErr w:type="spellStart"/>
      <w:r w:rsidR="001E58CE" w:rsidRPr="00F57188">
        <w:rPr>
          <w:rFonts w:cstheme="minorHAnsi"/>
          <w:lang w:val="en-US"/>
        </w:rPr>
        <w:t>Péan</w:t>
      </w:r>
      <w:proofErr w:type="spellEnd"/>
      <w:r w:rsidR="001E58CE" w:rsidRPr="00F57188">
        <w:rPr>
          <w:rFonts w:cstheme="minorHAnsi"/>
          <w:lang w:val="en-US"/>
        </w:rPr>
        <w:t xml:space="preserve"> de </w:t>
      </w:r>
      <w:proofErr w:type="spellStart"/>
      <w:r w:rsidR="001E58CE" w:rsidRPr="00F57188">
        <w:rPr>
          <w:rFonts w:cstheme="minorHAnsi"/>
          <w:lang w:val="en-US"/>
        </w:rPr>
        <w:t>Ponfilly</w:t>
      </w:r>
      <w:proofErr w:type="spellEnd"/>
      <w:r w:rsidR="001E58CE" w:rsidRPr="00F57188">
        <w:rPr>
          <w:rFonts w:cstheme="minorHAnsi"/>
          <w:lang w:val="en-US"/>
        </w:rPr>
        <w:t xml:space="preserve"> G, Le </w:t>
      </w:r>
      <w:proofErr w:type="spellStart"/>
      <w:r w:rsidR="001E58CE" w:rsidRPr="00F57188">
        <w:rPr>
          <w:rFonts w:cstheme="minorHAnsi"/>
          <w:lang w:val="en-US"/>
        </w:rPr>
        <w:t>Guen</w:t>
      </w:r>
      <w:proofErr w:type="spellEnd"/>
      <w:r w:rsidR="001E58CE" w:rsidRPr="00F57188">
        <w:rPr>
          <w:rFonts w:cstheme="minorHAnsi"/>
          <w:lang w:val="en-US"/>
        </w:rPr>
        <w:t xml:space="preserve"> R, </w:t>
      </w:r>
      <w:proofErr w:type="spellStart"/>
      <w:r w:rsidR="001E58CE" w:rsidRPr="00F57188">
        <w:rPr>
          <w:rFonts w:cstheme="minorHAnsi"/>
          <w:lang w:val="en-US"/>
        </w:rPr>
        <w:t>Zouari</w:t>
      </w:r>
      <w:proofErr w:type="spellEnd"/>
      <w:r w:rsidR="001E58CE" w:rsidRPr="00F57188">
        <w:rPr>
          <w:rFonts w:cstheme="minorHAnsi"/>
          <w:lang w:val="en-US"/>
        </w:rPr>
        <w:t xml:space="preserve"> A, </w:t>
      </w:r>
      <w:proofErr w:type="spellStart"/>
      <w:r w:rsidR="001E58CE" w:rsidRPr="00F57188">
        <w:rPr>
          <w:rFonts w:cstheme="minorHAnsi"/>
          <w:lang w:val="en-US"/>
        </w:rPr>
        <w:t>Potrel</w:t>
      </w:r>
      <w:proofErr w:type="spellEnd"/>
      <w:r w:rsidR="001E58CE" w:rsidRPr="00F57188">
        <w:rPr>
          <w:rFonts w:cstheme="minorHAnsi"/>
          <w:lang w:val="en-US"/>
        </w:rPr>
        <w:t xml:space="preserve"> S, Collet A, Auger G, </w:t>
      </w:r>
      <w:proofErr w:type="spellStart"/>
      <w:r w:rsidR="001E58CE" w:rsidRPr="00F57188">
        <w:rPr>
          <w:rFonts w:cstheme="minorHAnsi"/>
          <w:lang w:val="en-US"/>
        </w:rPr>
        <w:t>Jacquier</w:t>
      </w:r>
      <w:proofErr w:type="spellEnd"/>
      <w:r w:rsidR="001E58CE" w:rsidRPr="00F57188">
        <w:rPr>
          <w:rFonts w:cstheme="minorHAnsi"/>
          <w:lang w:val="en-US"/>
        </w:rPr>
        <w:t xml:space="preserve"> H, </w:t>
      </w:r>
      <w:proofErr w:type="spellStart"/>
      <w:r w:rsidR="001E58CE" w:rsidRPr="00F57188">
        <w:rPr>
          <w:rFonts w:cstheme="minorHAnsi"/>
          <w:lang w:val="en-US"/>
        </w:rPr>
        <w:t>Fihman</w:t>
      </w:r>
      <w:proofErr w:type="spellEnd"/>
      <w:r w:rsidR="001E58CE" w:rsidRPr="00F57188">
        <w:rPr>
          <w:rFonts w:cstheme="minorHAnsi"/>
          <w:lang w:val="en-US"/>
        </w:rPr>
        <w:t xml:space="preserve"> V, </w:t>
      </w:r>
      <w:proofErr w:type="spellStart"/>
      <w:r w:rsidR="001E58CE" w:rsidRPr="00F57188">
        <w:rPr>
          <w:rFonts w:cstheme="minorHAnsi"/>
          <w:lang w:val="en-US"/>
        </w:rPr>
        <w:t>Dortet</w:t>
      </w:r>
      <w:proofErr w:type="spellEnd"/>
      <w:r w:rsidR="001E58CE" w:rsidRPr="00F57188">
        <w:rPr>
          <w:rFonts w:cstheme="minorHAnsi"/>
          <w:lang w:val="en-US"/>
        </w:rPr>
        <w:t xml:space="preserve"> L, </w:t>
      </w:r>
      <w:proofErr w:type="spellStart"/>
      <w:r w:rsidR="001E58CE" w:rsidRPr="00F57188">
        <w:rPr>
          <w:rFonts w:cstheme="minorHAnsi"/>
          <w:lang w:val="en-US"/>
        </w:rPr>
        <w:t>Cattoir</w:t>
      </w:r>
      <w:proofErr w:type="spellEnd"/>
      <w:r w:rsidR="001E58CE" w:rsidRPr="00F57188">
        <w:rPr>
          <w:rFonts w:cstheme="minorHAnsi"/>
          <w:lang w:val="en-US"/>
        </w:rPr>
        <w:t xml:space="preserve"> V. Performance of commercial methods for linezolid susceptibility testing of </w:t>
      </w:r>
      <w:r w:rsidR="001E58CE" w:rsidRPr="000C0F29">
        <w:rPr>
          <w:rFonts w:cstheme="minorHAnsi"/>
          <w:i/>
          <w:iCs/>
          <w:lang w:val="en-US"/>
        </w:rPr>
        <w:t>Enterococcus faecium</w:t>
      </w:r>
      <w:r w:rsidR="001E58CE" w:rsidRPr="00F57188">
        <w:rPr>
          <w:rFonts w:cstheme="minorHAnsi"/>
          <w:lang w:val="en-US"/>
        </w:rPr>
        <w:t xml:space="preserve"> and </w:t>
      </w:r>
      <w:r w:rsidR="001E58CE" w:rsidRPr="000C0F29">
        <w:rPr>
          <w:rFonts w:cstheme="minorHAnsi"/>
          <w:i/>
          <w:iCs/>
          <w:lang w:val="en-US"/>
        </w:rPr>
        <w:t>Enterococcus faecalis</w:t>
      </w:r>
      <w:r w:rsidR="001E58CE" w:rsidRPr="00F57188">
        <w:rPr>
          <w:rFonts w:cstheme="minorHAnsi"/>
          <w:lang w:val="en-US"/>
        </w:rPr>
        <w:t xml:space="preserve">. J </w:t>
      </w:r>
      <w:proofErr w:type="spellStart"/>
      <w:r w:rsidR="001E58CE" w:rsidRPr="00F57188">
        <w:rPr>
          <w:rFonts w:cstheme="minorHAnsi"/>
          <w:lang w:val="en-US"/>
        </w:rPr>
        <w:t>Antimicrob</w:t>
      </w:r>
      <w:proofErr w:type="spellEnd"/>
      <w:r w:rsidR="001E58CE" w:rsidRPr="00F57188">
        <w:rPr>
          <w:rFonts w:cstheme="minorHAnsi"/>
          <w:lang w:val="en-US"/>
        </w:rPr>
        <w:t xml:space="preserve"> Chemother</w:t>
      </w:r>
      <w:r w:rsidR="001E58CE" w:rsidRPr="00FF1132">
        <w:rPr>
          <w:lang w:val="en-US"/>
        </w:rPr>
        <w:t xml:space="preserve"> </w:t>
      </w:r>
      <w:proofErr w:type="gramStart"/>
      <w:r w:rsidR="001E58CE" w:rsidRPr="00FF1132">
        <w:rPr>
          <w:lang w:val="en-US"/>
        </w:rPr>
        <w:t>2020;75:2587</w:t>
      </w:r>
      <w:proofErr w:type="gramEnd"/>
      <w:r w:rsidR="001E58CE" w:rsidRPr="00FF1132">
        <w:rPr>
          <w:lang w:val="en-US"/>
        </w:rPr>
        <w:t>–93.</w:t>
      </w:r>
    </w:p>
    <w:sectPr w:rsidR="001E58CE" w:rsidRPr="00FF1132" w:rsidSect="00C9392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31F41" w14:textId="77777777" w:rsidR="00930A65" w:rsidRDefault="00930A65" w:rsidP="00237D47">
      <w:r>
        <w:separator/>
      </w:r>
    </w:p>
  </w:endnote>
  <w:endnote w:type="continuationSeparator" w:id="0">
    <w:p w14:paraId="6406FE20" w14:textId="77777777" w:rsidR="00930A65" w:rsidRDefault="00930A65" w:rsidP="0023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211470099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6AFC8EB" w14:textId="1E1AC8B8" w:rsidR="00AB258D" w:rsidRDefault="00AB258D" w:rsidP="00AB258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34A5C628" w14:textId="77777777" w:rsidR="00AB258D" w:rsidRDefault="00AB258D" w:rsidP="00AB25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32458790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EB41C6" w14:textId="33B0E8DF" w:rsidR="00AB258D" w:rsidRDefault="00AB258D" w:rsidP="00AB258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5F21A08A" w14:textId="77777777" w:rsidR="003A189D" w:rsidRDefault="003A189D" w:rsidP="00AB25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B5435" w14:textId="77777777" w:rsidR="00930A65" w:rsidRDefault="00930A65" w:rsidP="00237D47">
      <w:r>
        <w:separator/>
      </w:r>
    </w:p>
  </w:footnote>
  <w:footnote w:type="continuationSeparator" w:id="0">
    <w:p w14:paraId="3A095F9B" w14:textId="77777777" w:rsidR="00930A65" w:rsidRDefault="00930A65" w:rsidP="0023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235F" w14:textId="71B2681B" w:rsidR="00353E15" w:rsidRDefault="00803B91" w:rsidP="00353E15">
    <w:pPr>
      <w:pStyle w:val="Topptekst"/>
      <w:jc w:val="right"/>
    </w:pPr>
    <w:r w:rsidRPr="003B08AF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9264" behindDoc="0" locked="0" layoutInCell="1" allowOverlap="1" wp14:anchorId="54D162EA" wp14:editId="3AF45E6B">
          <wp:simplePos x="0" y="0"/>
          <wp:positionH relativeFrom="margin">
            <wp:posOffset>3693795</wp:posOffset>
          </wp:positionH>
          <wp:positionV relativeFrom="paragraph">
            <wp:posOffset>-59690</wp:posOffset>
          </wp:positionV>
          <wp:extent cx="2133600" cy="314325"/>
          <wp:effectExtent l="0" t="0" r="0" b="9525"/>
          <wp:wrapSquare wrapText="bothSides"/>
          <wp:docPr id="4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7CA6AF" wp14:editId="44278C75">
          <wp:simplePos x="0" y="0"/>
          <wp:positionH relativeFrom="column">
            <wp:posOffset>-118745</wp:posOffset>
          </wp:positionH>
          <wp:positionV relativeFrom="paragraph">
            <wp:posOffset>-116205</wp:posOffset>
          </wp:positionV>
          <wp:extent cx="3267075" cy="428625"/>
          <wp:effectExtent l="0" t="0" r="9525" b="9525"/>
          <wp:wrapSquare wrapText="bothSides"/>
          <wp:docPr id="2" name="Bilde 2" descr="C:\Users\fab1409unn\Desktop\Temp\Ny mappe (180)\Nasjonal kompetansetjeneste for påvisning av antibiotiakresistens\Nasjonal kompetansetjeneste for påvisning av antibiotiakresistens\NKT-for-påvisning-av-antibiotikaresistens-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1409unn\Desktop\Temp\Ny mappe (180)\Nasjonal kompetansetjeneste for påvisning av antibiotiakresistens\Nasjonal kompetansetjeneste for påvisning av antibiotiakresistens\NKT-for-påvisning-av-antibiotikaresistens-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DABFA3" w14:textId="77777777" w:rsidR="00353E15" w:rsidRDefault="00353E15" w:rsidP="00353E15">
    <w:pPr>
      <w:pStyle w:val="Topptekst"/>
      <w:jc w:val="right"/>
    </w:pPr>
  </w:p>
  <w:p w14:paraId="64F6BF08" w14:textId="77777777" w:rsidR="00353E15" w:rsidRDefault="00353E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CED"/>
    <w:multiLevelType w:val="hybridMultilevel"/>
    <w:tmpl w:val="829C198E"/>
    <w:lvl w:ilvl="0" w:tplc="FC90CB9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517FE9"/>
    <w:multiLevelType w:val="hybridMultilevel"/>
    <w:tmpl w:val="C8BED3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2DBC"/>
    <w:multiLevelType w:val="hybridMultilevel"/>
    <w:tmpl w:val="0B4A72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5F42"/>
    <w:multiLevelType w:val="hybridMultilevel"/>
    <w:tmpl w:val="3FB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49AC"/>
    <w:multiLevelType w:val="hybridMultilevel"/>
    <w:tmpl w:val="50286454"/>
    <w:lvl w:ilvl="0" w:tplc="AA88C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1D62"/>
    <w:multiLevelType w:val="hybridMultilevel"/>
    <w:tmpl w:val="9FAC39AC"/>
    <w:lvl w:ilvl="0" w:tplc="04765E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0794"/>
    <w:multiLevelType w:val="hybridMultilevel"/>
    <w:tmpl w:val="B074FF40"/>
    <w:lvl w:ilvl="0" w:tplc="AA88C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E5E"/>
    <w:multiLevelType w:val="hybridMultilevel"/>
    <w:tmpl w:val="F03E3F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45253"/>
    <w:multiLevelType w:val="hybridMultilevel"/>
    <w:tmpl w:val="14BCB2C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46D4F"/>
    <w:multiLevelType w:val="hybridMultilevel"/>
    <w:tmpl w:val="93DCDC38"/>
    <w:lvl w:ilvl="0" w:tplc="E340B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Antimicrobial Chem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99a05xrq2eavoepaezp9951dt9tvwxfvxe5&quot;&gt;2015 Ref library&lt;record-ids&gt;&lt;item&gt;35&lt;/item&gt;&lt;item&gt;79&lt;/item&gt;&lt;item&gt;135&lt;/item&gt;&lt;item&gt;136&lt;/item&gt;&lt;item&gt;144&lt;/item&gt;&lt;item&gt;145&lt;/item&gt;&lt;item&gt;149&lt;/item&gt;&lt;item&gt;164&lt;/item&gt;&lt;item&gt;167&lt;/item&gt;&lt;item&gt;169&lt;/item&gt;&lt;item&gt;170&lt;/item&gt;&lt;item&gt;171&lt;/item&gt;&lt;item&gt;172&lt;/item&gt;&lt;item&gt;173&lt;/item&gt;&lt;/record-ids&gt;&lt;/item&gt;&lt;/Libraries&gt;"/>
  </w:docVars>
  <w:rsids>
    <w:rsidRoot w:val="007811CC"/>
    <w:rsid w:val="0000505D"/>
    <w:rsid w:val="00016F5F"/>
    <w:rsid w:val="00025A07"/>
    <w:rsid w:val="0003307D"/>
    <w:rsid w:val="000425C3"/>
    <w:rsid w:val="000467CD"/>
    <w:rsid w:val="000546B1"/>
    <w:rsid w:val="00055DF7"/>
    <w:rsid w:val="00070AA6"/>
    <w:rsid w:val="00075BF0"/>
    <w:rsid w:val="000846F4"/>
    <w:rsid w:val="00086056"/>
    <w:rsid w:val="00091B48"/>
    <w:rsid w:val="0009252D"/>
    <w:rsid w:val="00092D2E"/>
    <w:rsid w:val="00096A89"/>
    <w:rsid w:val="000A5DD8"/>
    <w:rsid w:val="000B37DF"/>
    <w:rsid w:val="000B3872"/>
    <w:rsid w:val="000C0F29"/>
    <w:rsid w:val="000E25A7"/>
    <w:rsid w:val="000F534A"/>
    <w:rsid w:val="001054A2"/>
    <w:rsid w:val="0011016D"/>
    <w:rsid w:val="00120C2D"/>
    <w:rsid w:val="00122971"/>
    <w:rsid w:val="00132FF4"/>
    <w:rsid w:val="001406C0"/>
    <w:rsid w:val="00142FA7"/>
    <w:rsid w:val="00144670"/>
    <w:rsid w:val="001460B2"/>
    <w:rsid w:val="0016653F"/>
    <w:rsid w:val="001779A5"/>
    <w:rsid w:val="00192D5B"/>
    <w:rsid w:val="001A0BFF"/>
    <w:rsid w:val="001B615E"/>
    <w:rsid w:val="001C01E0"/>
    <w:rsid w:val="001C3733"/>
    <w:rsid w:val="001D7E75"/>
    <w:rsid w:val="001E58CE"/>
    <w:rsid w:val="001F217D"/>
    <w:rsid w:val="001F72A7"/>
    <w:rsid w:val="0022385C"/>
    <w:rsid w:val="00237D47"/>
    <w:rsid w:val="00240CB0"/>
    <w:rsid w:val="002477F3"/>
    <w:rsid w:val="0027212A"/>
    <w:rsid w:val="00285EE1"/>
    <w:rsid w:val="002A213D"/>
    <w:rsid w:val="002C4B1F"/>
    <w:rsid w:val="002E2A33"/>
    <w:rsid w:val="002E5AB9"/>
    <w:rsid w:val="00300970"/>
    <w:rsid w:val="003039E7"/>
    <w:rsid w:val="00323E85"/>
    <w:rsid w:val="00335A83"/>
    <w:rsid w:val="00340103"/>
    <w:rsid w:val="003427FC"/>
    <w:rsid w:val="00343696"/>
    <w:rsid w:val="003504C4"/>
    <w:rsid w:val="00353E15"/>
    <w:rsid w:val="00370026"/>
    <w:rsid w:val="003730DA"/>
    <w:rsid w:val="00374467"/>
    <w:rsid w:val="0037742A"/>
    <w:rsid w:val="003A02E7"/>
    <w:rsid w:val="003A189D"/>
    <w:rsid w:val="003B5BE9"/>
    <w:rsid w:val="003D41A9"/>
    <w:rsid w:val="003F3AE2"/>
    <w:rsid w:val="003F4409"/>
    <w:rsid w:val="004030D6"/>
    <w:rsid w:val="00412FE7"/>
    <w:rsid w:val="00413DF9"/>
    <w:rsid w:val="00417B10"/>
    <w:rsid w:val="0042797C"/>
    <w:rsid w:val="004325F5"/>
    <w:rsid w:val="0043414A"/>
    <w:rsid w:val="00437144"/>
    <w:rsid w:val="00437E70"/>
    <w:rsid w:val="004414FB"/>
    <w:rsid w:val="00464EFA"/>
    <w:rsid w:val="00466682"/>
    <w:rsid w:val="004721E2"/>
    <w:rsid w:val="00472217"/>
    <w:rsid w:val="004755E2"/>
    <w:rsid w:val="00476C47"/>
    <w:rsid w:val="004837E1"/>
    <w:rsid w:val="00485274"/>
    <w:rsid w:val="00490EF0"/>
    <w:rsid w:val="004A2FA4"/>
    <w:rsid w:val="004C4F57"/>
    <w:rsid w:val="004D076A"/>
    <w:rsid w:val="004D7E26"/>
    <w:rsid w:val="004E1F1F"/>
    <w:rsid w:val="004F4990"/>
    <w:rsid w:val="00504210"/>
    <w:rsid w:val="00526AC3"/>
    <w:rsid w:val="00536265"/>
    <w:rsid w:val="00543D61"/>
    <w:rsid w:val="0055755F"/>
    <w:rsid w:val="005600A2"/>
    <w:rsid w:val="00560EF0"/>
    <w:rsid w:val="005A202D"/>
    <w:rsid w:val="005B3FC3"/>
    <w:rsid w:val="005B54C1"/>
    <w:rsid w:val="005B7B74"/>
    <w:rsid w:val="005F3DC1"/>
    <w:rsid w:val="005F7D38"/>
    <w:rsid w:val="00600CAB"/>
    <w:rsid w:val="006016C3"/>
    <w:rsid w:val="00601AF8"/>
    <w:rsid w:val="00610C35"/>
    <w:rsid w:val="0062405C"/>
    <w:rsid w:val="006240D6"/>
    <w:rsid w:val="00633963"/>
    <w:rsid w:val="00637679"/>
    <w:rsid w:val="00640544"/>
    <w:rsid w:val="00642223"/>
    <w:rsid w:val="006576CE"/>
    <w:rsid w:val="0065786F"/>
    <w:rsid w:val="00663299"/>
    <w:rsid w:val="00696002"/>
    <w:rsid w:val="006A5A9F"/>
    <w:rsid w:val="006B05FF"/>
    <w:rsid w:val="006B57D7"/>
    <w:rsid w:val="006B5A58"/>
    <w:rsid w:val="006C1BDC"/>
    <w:rsid w:val="006C6AB3"/>
    <w:rsid w:val="006E0978"/>
    <w:rsid w:val="007157E7"/>
    <w:rsid w:val="00715A92"/>
    <w:rsid w:val="00717E2A"/>
    <w:rsid w:val="00736D3C"/>
    <w:rsid w:val="00737ADE"/>
    <w:rsid w:val="00737D6F"/>
    <w:rsid w:val="00743FDE"/>
    <w:rsid w:val="00745744"/>
    <w:rsid w:val="007530A5"/>
    <w:rsid w:val="0077346A"/>
    <w:rsid w:val="007811CC"/>
    <w:rsid w:val="0079622D"/>
    <w:rsid w:val="007A17DC"/>
    <w:rsid w:val="007A4333"/>
    <w:rsid w:val="007A52FE"/>
    <w:rsid w:val="007B1698"/>
    <w:rsid w:val="007B47F3"/>
    <w:rsid w:val="007B5FFE"/>
    <w:rsid w:val="007C2B1A"/>
    <w:rsid w:val="007D410B"/>
    <w:rsid w:val="007E0084"/>
    <w:rsid w:val="007E2B43"/>
    <w:rsid w:val="007E655E"/>
    <w:rsid w:val="00803B91"/>
    <w:rsid w:val="0080659D"/>
    <w:rsid w:val="00813839"/>
    <w:rsid w:val="0082015B"/>
    <w:rsid w:val="00833C46"/>
    <w:rsid w:val="00840F82"/>
    <w:rsid w:val="0086428B"/>
    <w:rsid w:val="00870868"/>
    <w:rsid w:val="00870A4F"/>
    <w:rsid w:val="00871949"/>
    <w:rsid w:val="008831B5"/>
    <w:rsid w:val="00883E74"/>
    <w:rsid w:val="00885093"/>
    <w:rsid w:val="00886956"/>
    <w:rsid w:val="00894714"/>
    <w:rsid w:val="008961C2"/>
    <w:rsid w:val="008B2B87"/>
    <w:rsid w:val="008B4DD7"/>
    <w:rsid w:val="008B783A"/>
    <w:rsid w:val="008C3B61"/>
    <w:rsid w:val="008C4CEA"/>
    <w:rsid w:val="008D1540"/>
    <w:rsid w:val="008D372A"/>
    <w:rsid w:val="008D7AE6"/>
    <w:rsid w:val="008E2D46"/>
    <w:rsid w:val="008F01EE"/>
    <w:rsid w:val="00903EED"/>
    <w:rsid w:val="00911585"/>
    <w:rsid w:val="00930A65"/>
    <w:rsid w:val="009560C4"/>
    <w:rsid w:val="009613E0"/>
    <w:rsid w:val="009872FD"/>
    <w:rsid w:val="009942EA"/>
    <w:rsid w:val="009A40A5"/>
    <w:rsid w:val="009C6472"/>
    <w:rsid w:val="009F5576"/>
    <w:rsid w:val="009F788B"/>
    <w:rsid w:val="00A020D7"/>
    <w:rsid w:val="00A10FAD"/>
    <w:rsid w:val="00A27900"/>
    <w:rsid w:val="00A27BFD"/>
    <w:rsid w:val="00A422AF"/>
    <w:rsid w:val="00A45088"/>
    <w:rsid w:val="00A60E67"/>
    <w:rsid w:val="00A92B9D"/>
    <w:rsid w:val="00A93B22"/>
    <w:rsid w:val="00A94459"/>
    <w:rsid w:val="00AA798A"/>
    <w:rsid w:val="00AB03FC"/>
    <w:rsid w:val="00AB22EA"/>
    <w:rsid w:val="00AB258D"/>
    <w:rsid w:val="00AC1782"/>
    <w:rsid w:val="00AD1F90"/>
    <w:rsid w:val="00AD4C92"/>
    <w:rsid w:val="00AD5BB1"/>
    <w:rsid w:val="00AE6FA9"/>
    <w:rsid w:val="00AE7790"/>
    <w:rsid w:val="00B129EA"/>
    <w:rsid w:val="00B15AA2"/>
    <w:rsid w:val="00B22261"/>
    <w:rsid w:val="00B6112E"/>
    <w:rsid w:val="00B640B7"/>
    <w:rsid w:val="00B64F45"/>
    <w:rsid w:val="00B66DD7"/>
    <w:rsid w:val="00B67252"/>
    <w:rsid w:val="00B82DF1"/>
    <w:rsid w:val="00B86D3A"/>
    <w:rsid w:val="00B86E95"/>
    <w:rsid w:val="00B87260"/>
    <w:rsid w:val="00B96776"/>
    <w:rsid w:val="00BA0DD9"/>
    <w:rsid w:val="00BA3ADC"/>
    <w:rsid w:val="00BB4130"/>
    <w:rsid w:val="00BB6B1C"/>
    <w:rsid w:val="00BC0BF9"/>
    <w:rsid w:val="00BC3301"/>
    <w:rsid w:val="00BC6BBE"/>
    <w:rsid w:val="00BD24AA"/>
    <w:rsid w:val="00BE133A"/>
    <w:rsid w:val="00C04639"/>
    <w:rsid w:val="00C118F2"/>
    <w:rsid w:val="00C15569"/>
    <w:rsid w:val="00C31344"/>
    <w:rsid w:val="00C329AE"/>
    <w:rsid w:val="00C4439A"/>
    <w:rsid w:val="00C474A5"/>
    <w:rsid w:val="00C475B6"/>
    <w:rsid w:val="00C514F1"/>
    <w:rsid w:val="00C619F5"/>
    <w:rsid w:val="00C80CB4"/>
    <w:rsid w:val="00C818F9"/>
    <w:rsid w:val="00C85AEC"/>
    <w:rsid w:val="00C86675"/>
    <w:rsid w:val="00C877B9"/>
    <w:rsid w:val="00C9392B"/>
    <w:rsid w:val="00C95BC0"/>
    <w:rsid w:val="00CB46DA"/>
    <w:rsid w:val="00CC67A1"/>
    <w:rsid w:val="00CC70F7"/>
    <w:rsid w:val="00CF3CEC"/>
    <w:rsid w:val="00CF578F"/>
    <w:rsid w:val="00D03F24"/>
    <w:rsid w:val="00D217E1"/>
    <w:rsid w:val="00D270FD"/>
    <w:rsid w:val="00D27531"/>
    <w:rsid w:val="00D317D8"/>
    <w:rsid w:val="00D4753D"/>
    <w:rsid w:val="00D60C92"/>
    <w:rsid w:val="00D722BB"/>
    <w:rsid w:val="00D72DF4"/>
    <w:rsid w:val="00D7574E"/>
    <w:rsid w:val="00D87664"/>
    <w:rsid w:val="00D96B1C"/>
    <w:rsid w:val="00DC0342"/>
    <w:rsid w:val="00E1528F"/>
    <w:rsid w:val="00E1657B"/>
    <w:rsid w:val="00E1663E"/>
    <w:rsid w:val="00E30EEA"/>
    <w:rsid w:val="00E3476C"/>
    <w:rsid w:val="00E46857"/>
    <w:rsid w:val="00E5255E"/>
    <w:rsid w:val="00E542C2"/>
    <w:rsid w:val="00E7318A"/>
    <w:rsid w:val="00E805D3"/>
    <w:rsid w:val="00E82476"/>
    <w:rsid w:val="00E9079A"/>
    <w:rsid w:val="00EA6CDF"/>
    <w:rsid w:val="00EB006B"/>
    <w:rsid w:val="00EC744C"/>
    <w:rsid w:val="00ED7768"/>
    <w:rsid w:val="00EE1C94"/>
    <w:rsid w:val="00EF68CB"/>
    <w:rsid w:val="00F03DC4"/>
    <w:rsid w:val="00F15252"/>
    <w:rsid w:val="00F157A3"/>
    <w:rsid w:val="00F17515"/>
    <w:rsid w:val="00F25366"/>
    <w:rsid w:val="00F355D9"/>
    <w:rsid w:val="00F4488C"/>
    <w:rsid w:val="00F45BE6"/>
    <w:rsid w:val="00F57188"/>
    <w:rsid w:val="00F62B0F"/>
    <w:rsid w:val="00F73193"/>
    <w:rsid w:val="00F75989"/>
    <w:rsid w:val="00F83227"/>
    <w:rsid w:val="00F90071"/>
    <w:rsid w:val="00F96900"/>
    <w:rsid w:val="00FA1069"/>
    <w:rsid w:val="00FA6FEA"/>
    <w:rsid w:val="00FC180E"/>
    <w:rsid w:val="00FD7BF3"/>
    <w:rsid w:val="00FE104B"/>
    <w:rsid w:val="00FF1132"/>
    <w:rsid w:val="00FF3D09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58836"/>
  <w15:docId w15:val="{6C4297C3-B23E-4B18-AB6D-A358DD42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C92"/>
  </w:style>
  <w:style w:type="paragraph" w:styleId="Overskrift1">
    <w:name w:val="heading 1"/>
    <w:basedOn w:val="Normal"/>
    <w:link w:val="Overskrift1Tegn"/>
    <w:uiPriority w:val="9"/>
    <w:qFormat/>
    <w:rsid w:val="00F5718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831B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831B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37D4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7D47"/>
  </w:style>
  <w:style w:type="paragraph" w:styleId="Bunntekst">
    <w:name w:val="footer"/>
    <w:basedOn w:val="Normal"/>
    <w:link w:val="BunntekstTegn"/>
    <w:uiPriority w:val="99"/>
    <w:unhideWhenUsed/>
    <w:rsid w:val="00237D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7D47"/>
  </w:style>
  <w:style w:type="character" w:styleId="Merknadsreferanse">
    <w:name w:val="annotation reference"/>
    <w:basedOn w:val="Standardskriftforavsnitt"/>
    <w:uiPriority w:val="99"/>
    <w:semiHidden/>
    <w:unhideWhenUsed/>
    <w:rsid w:val="002C4B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4B1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4B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4B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4B1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4B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4B1F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Tegn"/>
    <w:rsid w:val="00B15AA2"/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B15AA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B15AA2"/>
    <w:pPr>
      <w:jc w:val="left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B15AA2"/>
    <w:rPr>
      <w:rFonts w:ascii="Calibri" w:hAnsi="Calibri"/>
      <w:noProof/>
      <w:lang w:val="en-US"/>
    </w:rPr>
  </w:style>
  <w:style w:type="paragraph" w:styleId="Revisjon">
    <w:name w:val="Revision"/>
    <w:hidden/>
    <w:uiPriority w:val="99"/>
    <w:semiHidden/>
    <w:rsid w:val="008C4CEA"/>
    <w:pPr>
      <w:jc w:val="left"/>
    </w:pPr>
  </w:style>
  <w:style w:type="paragraph" w:customStyle="1" w:styleId="xmsolistparagraph">
    <w:name w:val="x_msolistparagraph"/>
    <w:basedOn w:val="Normal"/>
    <w:rsid w:val="008C4C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-list-item">
    <w:name w:val="authors-list-item"/>
    <w:basedOn w:val="Standardskriftforavsnitt"/>
    <w:rsid w:val="00903EED"/>
  </w:style>
  <w:style w:type="character" w:customStyle="1" w:styleId="author-sup-separator">
    <w:name w:val="author-sup-separator"/>
    <w:basedOn w:val="Standardskriftforavsnitt"/>
    <w:rsid w:val="00903EED"/>
  </w:style>
  <w:style w:type="character" w:customStyle="1" w:styleId="comma">
    <w:name w:val="comma"/>
    <w:basedOn w:val="Standardskriftforavsnitt"/>
    <w:rsid w:val="00903EED"/>
  </w:style>
  <w:style w:type="character" w:customStyle="1" w:styleId="Overskrift1Tegn">
    <w:name w:val="Overskrift 1 Tegn"/>
    <w:basedOn w:val="Standardskriftforavsnitt"/>
    <w:link w:val="Overskrift1"/>
    <w:uiPriority w:val="9"/>
    <w:rsid w:val="00F57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idetall">
    <w:name w:val="page number"/>
    <w:basedOn w:val="Standardskriftforavsnitt"/>
    <w:uiPriority w:val="99"/>
    <w:semiHidden/>
    <w:unhideWhenUsed/>
    <w:rsid w:val="00AB258D"/>
  </w:style>
  <w:style w:type="character" w:styleId="Ulstomtale">
    <w:name w:val="Unresolved Mention"/>
    <w:basedOn w:val="Standardskriftforavsnitt"/>
    <w:uiPriority w:val="99"/>
    <w:semiHidden/>
    <w:unhideWhenUsed/>
    <w:rsid w:val="00BB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ast.org/)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4F2C8-E3A5-43D1-94A7-E41740A9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8526</Characters>
  <Application>Microsoft Office Word</Application>
  <DocSecurity>4</DocSecurity>
  <Lines>71</Lines>
  <Paragraphs>20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UNN-384</dc:creator>
  <cp:lastModifiedBy>Haldorsen Bjørg Christina</cp:lastModifiedBy>
  <cp:revision>2</cp:revision>
  <cp:lastPrinted>2022-11-15T08:59:00Z</cp:lastPrinted>
  <dcterms:created xsi:type="dcterms:W3CDTF">2023-01-26T11:40:00Z</dcterms:created>
  <dcterms:modified xsi:type="dcterms:W3CDTF">2023-01-26T11:40:00Z</dcterms:modified>
</cp:coreProperties>
</file>