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49CA" w:rsidRDefault="003B334D" w:rsidP="003B334D">
      <w:pPr>
        <w:pStyle w:val="Rubrik1"/>
      </w:pPr>
      <w:r>
        <w:t>Falldefinitioner vid anmälan enligt Smittskyddslagen 2025 – kommentarer från Föreningen för Klinisk Mikrobiologi (FKM)</w:t>
      </w:r>
    </w:p>
    <w:p w:rsidR="003B334D" w:rsidRDefault="003B334D" w:rsidP="00763B50"/>
    <w:p w:rsidR="00985539" w:rsidRDefault="00575462" w:rsidP="00763B50">
      <w:r>
        <w:t xml:space="preserve">Föreningen för Klinisk Mikrobiologi (FKM) har mottagit förslaget till uppdatering </w:t>
      </w:r>
      <w:r w:rsidR="003B334D">
        <w:t xml:space="preserve">av </w:t>
      </w:r>
      <w:r w:rsidR="00763B50">
        <w:t xml:space="preserve">Falldefinitioner vid anmälan enligt smittskyddslagen </w:t>
      </w:r>
      <w:r w:rsidR="003B334D">
        <w:t>(</w:t>
      </w:r>
      <w:r w:rsidR="00763B50">
        <w:t>2025</w:t>
      </w:r>
      <w:r w:rsidR="003B334D">
        <w:t>)</w:t>
      </w:r>
      <w:r>
        <w:t xml:space="preserve">. </w:t>
      </w:r>
      <w:r w:rsidR="003B334D">
        <w:t>Nedan följer föreningens synpunkter rörande användningen av kriterier för ”misstänkt fall”.</w:t>
      </w:r>
    </w:p>
    <w:p w:rsidR="008D3047" w:rsidRDefault="008D3047"/>
    <w:p w:rsidR="00963725" w:rsidRDefault="00963725" w:rsidP="00963725">
      <w:pPr>
        <w:pStyle w:val="Rubrik2"/>
      </w:pPr>
      <w:r>
        <w:t>Smittskyddslagens (SmL) beskrivning av misstänkta fall</w:t>
      </w:r>
    </w:p>
    <w:p w:rsidR="00963725" w:rsidRDefault="00963725"/>
    <w:p w:rsidR="00FD4228" w:rsidRDefault="00963725">
      <w:r w:rsidRPr="00963725">
        <w:t>Huvudregeln enligt SmL är att både misstänkta och bekräftade fall ska anmälas</w:t>
      </w:r>
      <w:r>
        <w:t xml:space="preserve">. </w:t>
      </w:r>
      <w:r w:rsidR="00FD4228">
        <w:t>I förarbetena till SmL (</w:t>
      </w:r>
      <w:r w:rsidR="00FD4228" w:rsidRPr="00FD4228">
        <w:t>Regeringens proposition 2003/04:30</w:t>
      </w:r>
      <w:r w:rsidR="00FD4228">
        <w:t xml:space="preserve">) framgår att det för att snabbt kunna sätta in åtgärder mot smittspridning inte krävs att fullständig diagnos ställts innan anmälan görs. För att det i lagens mening ska föreligga misstanke </w:t>
      </w:r>
      <w:r w:rsidR="004F6709">
        <w:t xml:space="preserve">om sjukdom </w:t>
      </w:r>
      <w:r w:rsidR="00FD4228">
        <w:t>krävs dock ”</w:t>
      </w:r>
      <w:r w:rsidR="00FD4228" w:rsidRPr="00FD4228">
        <w:t>att det finns något konkret som tyder på att den smittsamma sjukdomen är för handen, t.ex. att patienten uppvisar något symtom som är typiskt för ifrågavarande sjukdom</w:t>
      </w:r>
      <w:r w:rsidR="00FD4228">
        <w:t>”.</w:t>
      </w:r>
    </w:p>
    <w:p w:rsidR="00FD4228" w:rsidRDefault="00FD4228" w:rsidP="00963725">
      <w:r>
        <w:t xml:space="preserve">Detta återkommer också i avsnittet om definitioner i det nya dokumentet, där ett misstänkt fall definieras som följer: </w:t>
      </w:r>
    </w:p>
    <w:p w:rsidR="00963725" w:rsidRDefault="00FD4228" w:rsidP="00963725">
      <w:r w:rsidRPr="00FD4228">
        <w:rPr>
          <w:i/>
        </w:rPr>
        <w:t>”</w:t>
      </w:r>
      <w:r w:rsidR="00963725" w:rsidRPr="00FD4228">
        <w:rPr>
          <w:i/>
        </w:rPr>
        <w:t>Ett sjukdomsfall där det finns skäl att misstänka att patienten har en anmälningspliktig sjukdom, även om det inte är bekräftat. Patienten kan exempelvis uppvisa en klinisk bild som är typisk för sjukdomen och ett epidemiologiskt samband med bekräftade fall. Det kan också gälla patienter som på grund av annan sjukdom eller tidigare insatt behandling får en atypisk sjukdomsbild, respektive patienter där man med anledning av tidigare behandling inte heller kan förvänta sig verifierande resultat från laboratoriet. För att snabbt kunna vidta nödvändiga åtgärder som minskar risken för smittspridning kan det i vissa situationer vara avgörande att rapportering sker redan innan ett fall kunnat bli bekräftat. Som misstänkta räknas också fall där man av olika skäl använt mikrobiologiska tekniker, vilkas resultat ännu inte blivit allmänt eller internationellt accepterade</w:t>
      </w:r>
      <w:r w:rsidRPr="00FD4228">
        <w:rPr>
          <w:i/>
        </w:rPr>
        <w:t>”</w:t>
      </w:r>
      <w:r>
        <w:t>.</w:t>
      </w:r>
    </w:p>
    <w:p w:rsidR="008D3047" w:rsidRDefault="008D3047" w:rsidP="00963725"/>
    <w:p w:rsidR="008D3047" w:rsidRDefault="00425714" w:rsidP="008D3047">
      <w:pPr>
        <w:pStyle w:val="Rubrik2"/>
      </w:pPr>
      <w:r>
        <w:t>K</w:t>
      </w:r>
      <w:r w:rsidR="008D3047">
        <w:t>riterier för misstänkta fall i det nya förslaget till falldefin</w:t>
      </w:r>
      <w:r>
        <w:t>i</w:t>
      </w:r>
      <w:r w:rsidR="008D3047">
        <w:t>tioner</w:t>
      </w:r>
    </w:p>
    <w:p w:rsidR="008D3047" w:rsidRDefault="008D3047" w:rsidP="00963725"/>
    <w:p w:rsidR="00FD4228" w:rsidRDefault="008D3047" w:rsidP="00963725">
      <w:r>
        <w:t>Ovanstående</w:t>
      </w:r>
      <w:r w:rsidR="00815DF1">
        <w:t xml:space="preserve"> formuleringar är sannolikt </w:t>
      </w:r>
      <w:r w:rsidR="003B334D">
        <w:t>skälet</w:t>
      </w:r>
      <w:r w:rsidR="00815DF1">
        <w:t xml:space="preserve"> till att det i majoriteten av kriterierna för ”misstänkt fall” krävs </w:t>
      </w:r>
      <w:r w:rsidR="00815DF1" w:rsidRPr="008D3047">
        <w:rPr>
          <w:i/>
        </w:rPr>
        <w:t>klinisk bild</w:t>
      </w:r>
      <w:r w:rsidR="00815DF1">
        <w:t xml:space="preserve"> </w:t>
      </w:r>
      <w:r>
        <w:t>förenlig med</w:t>
      </w:r>
      <w:r w:rsidR="00815DF1">
        <w:t xml:space="preserve"> sjukdom orsakad av aktuellt smittämne (33 av 39 </w:t>
      </w:r>
      <w:r w:rsidR="00BA7678">
        <w:t>sjukdomar</w:t>
      </w:r>
      <w:r w:rsidR="003B334D">
        <w:t xml:space="preserve"> där misstänkt fall definieras</w:t>
      </w:r>
      <w:r w:rsidR="00BA7678">
        <w:t xml:space="preserve">). Därutöver finns fyra falldefinitioner där mikrobiologiska fynd ensamt kan ligga till grund för anmälan som ”misstänkt fall”, men där antalet fall som </w:t>
      </w:r>
      <w:r>
        <w:t xml:space="preserve">är </w:t>
      </w:r>
      <w:r w:rsidR="00BA7678">
        <w:t>aktuella för sådan anmälan är relativt låg</w:t>
      </w:r>
      <w:r w:rsidR="003B334D">
        <w:t>t</w:t>
      </w:r>
      <w:r w:rsidR="00BA7678">
        <w:t xml:space="preserve"> och specificiteten (sannolikheten att fyndet senare kan bekräftas) relativt hög</w:t>
      </w:r>
      <w:r>
        <w:t>,</w:t>
      </w:r>
      <w:r w:rsidR="00BA7678">
        <w:t xml:space="preserve"> även utan kliniska eller epidemiologiska data</w:t>
      </w:r>
      <w:r w:rsidR="003B334D">
        <w:t xml:space="preserve"> föreligger</w:t>
      </w:r>
      <w:r w:rsidR="00BA7678">
        <w:t xml:space="preserve"> (difteri, TBC, mässling och </w:t>
      </w:r>
      <w:proofErr w:type="spellStart"/>
      <w:r w:rsidR="00BA7678">
        <w:t>listeria</w:t>
      </w:r>
      <w:proofErr w:type="spellEnd"/>
      <w:r w:rsidR="00BA7678">
        <w:t>, se tabell 1).</w:t>
      </w:r>
    </w:p>
    <w:p w:rsidR="00BA7678" w:rsidRPr="00963725" w:rsidRDefault="00BA7678" w:rsidP="00963725">
      <w:r>
        <w:t>Dock finns också två relativt nytillkomna falldefinitioner för ”misstänkt fall” där kriterierna kan uppfyllas utan kännedom om kliniska data, samtidigt som antalet fall som kan vara aktuella för sådan anmälan är relativt högt och specificiteten (dvs sannolikheten för att fyndet kommer att kunna bekräftas som ett etiologisk agens bakom patientens symptom) är låg (</w:t>
      </w:r>
      <w:proofErr w:type="spellStart"/>
      <w:r>
        <w:t>Yersinia</w:t>
      </w:r>
      <w:proofErr w:type="spellEnd"/>
      <w:r>
        <w:t xml:space="preserve">, </w:t>
      </w:r>
      <w:proofErr w:type="spellStart"/>
      <w:r>
        <w:t>Shigella</w:t>
      </w:r>
      <w:proofErr w:type="spellEnd"/>
      <w:r>
        <w:t>)</w:t>
      </w:r>
      <w:r w:rsidR="008D3047">
        <w:t>.</w:t>
      </w:r>
    </w:p>
    <w:p w:rsidR="008D3047" w:rsidRDefault="008D3047" w:rsidP="00BA7678">
      <w:pPr>
        <w:rPr>
          <w:b/>
          <w:sz w:val="20"/>
        </w:rPr>
      </w:pPr>
    </w:p>
    <w:p w:rsidR="00BA7678" w:rsidRPr="008D3047" w:rsidRDefault="008D3047" w:rsidP="00BA7678">
      <w:pPr>
        <w:rPr>
          <w:b/>
          <w:sz w:val="20"/>
        </w:rPr>
      </w:pP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-4445</wp:posOffset>
                </wp:positionV>
                <wp:extent cx="6146800" cy="5778500"/>
                <wp:effectExtent l="0" t="0" r="25400" b="12700"/>
                <wp:wrapNone/>
                <wp:docPr id="1" name="Rektangel 1"/>
                <wp:cNvGraphicFramePr/>
                <a:graphic xmlns:a="http://schemas.openxmlformats.org/drawingml/2006/main">
                  <a:graphicData uri="http://schemas.microsoft.com/office/word/2010/wordprocessingShape">
                    <wps:wsp>
                      <wps:cNvSpPr/>
                      <wps:spPr>
                        <a:xfrm>
                          <a:off x="0" y="0"/>
                          <a:ext cx="6146800" cy="57785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0C8C1" id="Rektangel 1" o:spid="_x0000_s1026" style="position:absolute;margin-left:-5.85pt;margin-top:-.35pt;width:484pt;height: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" filled="f" strokecolor="#70ad47 [3209]" strokeweight="1pt"/>
            </w:pict>
          </mc:Fallback>
        </mc:AlternateContent>
      </w:r>
      <w:r w:rsidR="00BA7678" w:rsidRPr="008D3047">
        <w:rPr>
          <w:b/>
          <w:sz w:val="20"/>
        </w:rPr>
        <w:t>Difteri</w:t>
      </w:r>
    </w:p>
    <w:p w:rsidR="00BA7678" w:rsidRPr="008D3047" w:rsidRDefault="00BA7678" w:rsidP="00BA7678">
      <w:pPr>
        <w:pStyle w:val="Punktlista"/>
        <w:numPr>
          <w:ilvl w:val="0"/>
          <w:numId w:val="2"/>
        </w:numPr>
        <w:spacing w:before="0" w:after="0"/>
        <w:rPr>
          <w:sz w:val="20"/>
        </w:rPr>
      </w:pPr>
      <w:r w:rsidRPr="008D3047">
        <w:rPr>
          <w:sz w:val="20"/>
        </w:rPr>
        <w:t xml:space="preserve">Isolering av </w:t>
      </w:r>
      <w:proofErr w:type="spellStart"/>
      <w:r w:rsidRPr="008D3047">
        <w:rPr>
          <w:sz w:val="20"/>
        </w:rPr>
        <w:t>Corynebacterium</w:t>
      </w:r>
      <w:proofErr w:type="spellEnd"/>
      <w:r w:rsidRPr="008D3047">
        <w:rPr>
          <w:sz w:val="20"/>
        </w:rPr>
        <w:t xml:space="preserve"> </w:t>
      </w:r>
      <w:proofErr w:type="spellStart"/>
      <w:r w:rsidRPr="008D3047">
        <w:rPr>
          <w:sz w:val="20"/>
        </w:rPr>
        <w:t>diphtheriae</w:t>
      </w:r>
      <w:proofErr w:type="spellEnd"/>
      <w:r w:rsidRPr="008D3047">
        <w:rPr>
          <w:sz w:val="20"/>
        </w:rPr>
        <w:t xml:space="preserve">, C. </w:t>
      </w:r>
      <w:proofErr w:type="spellStart"/>
      <w:r w:rsidRPr="008D3047">
        <w:rPr>
          <w:sz w:val="20"/>
        </w:rPr>
        <w:t>ulcerans</w:t>
      </w:r>
      <w:proofErr w:type="spellEnd"/>
      <w:r w:rsidRPr="008D3047">
        <w:rPr>
          <w:sz w:val="20"/>
        </w:rPr>
        <w:t xml:space="preserve"> eller C. </w:t>
      </w:r>
      <w:proofErr w:type="spellStart"/>
      <w:r w:rsidRPr="008D3047">
        <w:rPr>
          <w:sz w:val="20"/>
        </w:rPr>
        <w:t>pseudotuberculosis</w:t>
      </w:r>
      <w:proofErr w:type="spellEnd"/>
    </w:p>
    <w:p w:rsidR="00BA7678" w:rsidRPr="008D3047" w:rsidRDefault="00BA7678" w:rsidP="00BA7678">
      <w:pPr>
        <w:pStyle w:val="Punktlista"/>
        <w:numPr>
          <w:ilvl w:val="0"/>
          <w:numId w:val="2"/>
        </w:numPr>
        <w:spacing w:before="0" w:after="0"/>
        <w:rPr>
          <w:sz w:val="20"/>
        </w:rPr>
      </w:pPr>
      <w:r w:rsidRPr="008D3047">
        <w:rPr>
          <w:sz w:val="20"/>
        </w:rPr>
        <w:t>Påvisande av nukleinsyra som är specifik för difteritoxingenens subenheter A och B</w:t>
      </w:r>
    </w:p>
    <w:p w:rsidR="00BA7678" w:rsidRPr="008D3047" w:rsidRDefault="00BA7678" w:rsidP="00BA7678">
      <w:pPr>
        <w:pStyle w:val="Punktlista"/>
        <w:numPr>
          <w:ilvl w:val="0"/>
          <w:numId w:val="0"/>
        </w:numPr>
        <w:spacing w:before="0" w:after="0"/>
        <w:ind w:left="720"/>
        <w:rPr>
          <w:sz w:val="20"/>
        </w:rPr>
      </w:pPr>
      <w:r w:rsidRPr="008D3047">
        <w:rPr>
          <w:b/>
          <w:sz w:val="20"/>
          <w:u w:val="single"/>
        </w:rPr>
        <w:t>Kommentar</w:t>
      </w:r>
      <w:r w:rsidRPr="008D3047">
        <w:rPr>
          <w:b/>
          <w:sz w:val="20"/>
        </w:rPr>
        <w:t>:</w:t>
      </w:r>
      <w:r w:rsidRPr="008D3047">
        <w:rPr>
          <w:sz w:val="20"/>
        </w:rPr>
        <w:t xml:space="preserve"> fåtal fall per år. </w:t>
      </w:r>
      <w:r w:rsidR="00425714">
        <w:rPr>
          <w:sz w:val="20"/>
        </w:rPr>
        <w:t>M</w:t>
      </w:r>
      <w:r w:rsidRPr="008D3047">
        <w:rPr>
          <w:sz w:val="20"/>
        </w:rPr>
        <w:t>åttlig specificitet.</w:t>
      </w:r>
    </w:p>
    <w:p w:rsidR="00BA7678" w:rsidRPr="008D3047" w:rsidRDefault="00BA7678" w:rsidP="00BA7678">
      <w:pPr>
        <w:rPr>
          <w:sz w:val="20"/>
        </w:rPr>
      </w:pPr>
    </w:p>
    <w:p w:rsidR="00BA7678" w:rsidRPr="008D3047" w:rsidRDefault="00BA7678" w:rsidP="00BA7678">
      <w:pPr>
        <w:rPr>
          <w:b/>
          <w:sz w:val="20"/>
        </w:rPr>
      </w:pPr>
      <w:proofErr w:type="spellStart"/>
      <w:r w:rsidRPr="008D3047">
        <w:rPr>
          <w:b/>
          <w:sz w:val="20"/>
        </w:rPr>
        <w:t>Listeria</w:t>
      </w:r>
      <w:proofErr w:type="spellEnd"/>
    </w:p>
    <w:p w:rsidR="00BA7678" w:rsidRPr="008D3047" w:rsidRDefault="00BA7678" w:rsidP="008D3047">
      <w:pPr>
        <w:pStyle w:val="Punktlista"/>
        <w:numPr>
          <w:ilvl w:val="0"/>
          <w:numId w:val="3"/>
        </w:numPr>
        <w:spacing w:before="0" w:line="240" w:lineRule="auto"/>
        <w:rPr>
          <w:sz w:val="20"/>
        </w:rPr>
      </w:pPr>
      <w:r w:rsidRPr="008D3047">
        <w:rPr>
          <w:sz w:val="20"/>
        </w:rPr>
        <w:t xml:space="preserve">Isolering av </w:t>
      </w:r>
      <w:proofErr w:type="spellStart"/>
      <w:r w:rsidRPr="008D3047">
        <w:rPr>
          <w:sz w:val="20"/>
        </w:rPr>
        <w:t>Listeria</w:t>
      </w:r>
      <w:proofErr w:type="spellEnd"/>
      <w:r w:rsidRPr="008D3047">
        <w:rPr>
          <w:sz w:val="20"/>
        </w:rPr>
        <w:t xml:space="preserve"> </w:t>
      </w:r>
      <w:proofErr w:type="spellStart"/>
      <w:r w:rsidRPr="008D3047">
        <w:rPr>
          <w:sz w:val="20"/>
        </w:rPr>
        <w:t>spp</w:t>
      </w:r>
      <w:proofErr w:type="spellEnd"/>
      <w:r w:rsidRPr="008D3047">
        <w:rPr>
          <w:sz w:val="20"/>
        </w:rPr>
        <w:t>. i blod, cerebrospinalvätska eller annan normalt steril lokal</w:t>
      </w:r>
    </w:p>
    <w:p w:rsidR="00BA7678" w:rsidRPr="008D3047" w:rsidRDefault="00BA7678" w:rsidP="008D3047">
      <w:pPr>
        <w:pStyle w:val="Punktlista"/>
        <w:numPr>
          <w:ilvl w:val="0"/>
          <w:numId w:val="3"/>
        </w:numPr>
        <w:spacing w:before="0" w:line="240" w:lineRule="auto"/>
        <w:rPr>
          <w:sz w:val="20"/>
        </w:rPr>
      </w:pPr>
      <w:r w:rsidRPr="008D3047">
        <w:rPr>
          <w:sz w:val="20"/>
        </w:rPr>
        <w:t xml:space="preserve">Påvisande av nukleinsyra från </w:t>
      </w:r>
      <w:proofErr w:type="spellStart"/>
      <w:r w:rsidRPr="008D3047">
        <w:rPr>
          <w:sz w:val="20"/>
        </w:rPr>
        <w:t>Listeria</w:t>
      </w:r>
      <w:proofErr w:type="spellEnd"/>
      <w:r w:rsidRPr="008D3047">
        <w:rPr>
          <w:sz w:val="20"/>
        </w:rPr>
        <w:t xml:space="preserve"> </w:t>
      </w:r>
      <w:proofErr w:type="spellStart"/>
      <w:r w:rsidRPr="008D3047">
        <w:rPr>
          <w:sz w:val="20"/>
        </w:rPr>
        <w:t>spp</w:t>
      </w:r>
      <w:proofErr w:type="spellEnd"/>
      <w:r w:rsidRPr="008D3047">
        <w:rPr>
          <w:sz w:val="20"/>
        </w:rPr>
        <w:t>. i blod, cerebrospinalvätska eller annan normalt steril lokal</w:t>
      </w:r>
    </w:p>
    <w:p w:rsidR="00BA7678" w:rsidRPr="008D3047" w:rsidRDefault="00BA7678" w:rsidP="008D3047">
      <w:pPr>
        <w:pStyle w:val="Punktlista"/>
        <w:numPr>
          <w:ilvl w:val="0"/>
          <w:numId w:val="0"/>
        </w:numPr>
        <w:spacing w:before="0" w:line="240" w:lineRule="auto"/>
        <w:ind w:left="833"/>
        <w:rPr>
          <w:sz w:val="20"/>
        </w:rPr>
      </w:pPr>
      <w:r w:rsidRPr="008D3047">
        <w:rPr>
          <w:b/>
          <w:sz w:val="20"/>
          <w:u w:val="single"/>
        </w:rPr>
        <w:t>Kommentar</w:t>
      </w:r>
      <w:r w:rsidRPr="008D3047">
        <w:rPr>
          <w:b/>
          <w:sz w:val="20"/>
        </w:rPr>
        <w:t>:</w:t>
      </w:r>
      <w:r w:rsidRPr="008D3047">
        <w:rPr>
          <w:sz w:val="20"/>
        </w:rPr>
        <w:t xml:space="preserve"> Nytt. Fåtal fall per år</w:t>
      </w:r>
      <w:r w:rsidR="00425714">
        <w:rPr>
          <w:sz w:val="20"/>
        </w:rPr>
        <w:t>. H</w:t>
      </w:r>
      <w:r w:rsidRPr="008D3047">
        <w:rPr>
          <w:sz w:val="20"/>
        </w:rPr>
        <w:t>ög specificitet</w:t>
      </w:r>
      <w:r w:rsidR="00425714">
        <w:rPr>
          <w:sz w:val="20"/>
        </w:rPr>
        <w:t>.</w:t>
      </w:r>
    </w:p>
    <w:p w:rsidR="00BA7678" w:rsidRPr="008D3047" w:rsidRDefault="00BA7678" w:rsidP="00BA7678">
      <w:pPr>
        <w:rPr>
          <w:b/>
          <w:sz w:val="20"/>
        </w:rPr>
      </w:pPr>
      <w:r w:rsidRPr="008D3047">
        <w:rPr>
          <w:b/>
          <w:sz w:val="20"/>
        </w:rPr>
        <w:t>Mässling</w:t>
      </w:r>
    </w:p>
    <w:p w:rsidR="00BA7678" w:rsidRPr="008D3047" w:rsidRDefault="00BA7678" w:rsidP="008D3047">
      <w:pPr>
        <w:pStyle w:val="Punktlista"/>
        <w:numPr>
          <w:ilvl w:val="0"/>
          <w:numId w:val="4"/>
        </w:numPr>
        <w:spacing w:line="240" w:lineRule="auto"/>
        <w:rPr>
          <w:sz w:val="20"/>
        </w:rPr>
      </w:pPr>
      <w:r w:rsidRPr="008D3047">
        <w:rPr>
          <w:sz w:val="20"/>
        </w:rPr>
        <w:t xml:space="preserve">Påvisande av </w:t>
      </w:r>
      <w:proofErr w:type="spellStart"/>
      <w:r w:rsidRPr="008D3047">
        <w:rPr>
          <w:sz w:val="20"/>
        </w:rPr>
        <w:t>morbillivirusspecifik</w:t>
      </w:r>
      <w:proofErr w:type="spellEnd"/>
      <w:r w:rsidRPr="008D3047">
        <w:rPr>
          <w:sz w:val="20"/>
        </w:rPr>
        <w:t xml:space="preserve"> antikroppsreaktion som indikerar aktuell infektion</w:t>
      </w:r>
    </w:p>
    <w:p w:rsidR="00BA7678" w:rsidRPr="008D3047" w:rsidRDefault="00BA7678" w:rsidP="008D3047">
      <w:pPr>
        <w:pStyle w:val="Punktlista"/>
        <w:numPr>
          <w:ilvl w:val="0"/>
          <w:numId w:val="4"/>
        </w:numPr>
        <w:spacing w:line="240" w:lineRule="auto"/>
        <w:rPr>
          <w:sz w:val="20"/>
        </w:rPr>
      </w:pPr>
      <w:r w:rsidRPr="008D3047">
        <w:rPr>
          <w:sz w:val="20"/>
        </w:rPr>
        <w:t xml:space="preserve">Påvisande av nukleinsyra från </w:t>
      </w:r>
      <w:proofErr w:type="spellStart"/>
      <w:r w:rsidRPr="008D3047">
        <w:rPr>
          <w:sz w:val="20"/>
        </w:rPr>
        <w:t>morbillivirus</w:t>
      </w:r>
      <w:proofErr w:type="spellEnd"/>
    </w:p>
    <w:p w:rsidR="00BA7678" w:rsidRPr="008D3047" w:rsidRDefault="00BA7678" w:rsidP="008D3047">
      <w:pPr>
        <w:pStyle w:val="Punktlista"/>
        <w:numPr>
          <w:ilvl w:val="0"/>
          <w:numId w:val="0"/>
        </w:numPr>
        <w:spacing w:line="240" w:lineRule="auto"/>
        <w:ind w:left="720"/>
        <w:rPr>
          <w:sz w:val="20"/>
        </w:rPr>
      </w:pPr>
      <w:r w:rsidRPr="008D3047">
        <w:rPr>
          <w:b/>
          <w:sz w:val="20"/>
          <w:u w:val="single"/>
        </w:rPr>
        <w:t>Kommentar</w:t>
      </w:r>
      <w:r w:rsidRPr="008D3047">
        <w:rPr>
          <w:b/>
          <w:sz w:val="20"/>
        </w:rPr>
        <w:t>:</w:t>
      </w:r>
      <w:r w:rsidRPr="008D3047">
        <w:rPr>
          <w:sz w:val="20"/>
        </w:rPr>
        <w:t xml:space="preserve"> Fåtal fall per år. </w:t>
      </w:r>
      <w:r w:rsidR="00425714">
        <w:rPr>
          <w:sz w:val="20"/>
        </w:rPr>
        <w:t>H</w:t>
      </w:r>
      <w:r w:rsidRPr="008D3047">
        <w:rPr>
          <w:sz w:val="20"/>
        </w:rPr>
        <w:t>ög specificitet.</w:t>
      </w:r>
    </w:p>
    <w:p w:rsidR="00BA7678" w:rsidRPr="008D3047" w:rsidRDefault="00BA7678" w:rsidP="00BA7678">
      <w:pPr>
        <w:rPr>
          <w:b/>
          <w:sz w:val="20"/>
        </w:rPr>
      </w:pPr>
      <w:r w:rsidRPr="008D3047">
        <w:rPr>
          <w:b/>
          <w:sz w:val="20"/>
        </w:rPr>
        <w:t>Tuberkulos</w:t>
      </w:r>
    </w:p>
    <w:p w:rsidR="00BA7678" w:rsidRPr="008D3047" w:rsidRDefault="00BA7678" w:rsidP="00BA7678">
      <w:pPr>
        <w:pStyle w:val="Punktlista"/>
        <w:numPr>
          <w:ilvl w:val="0"/>
          <w:numId w:val="5"/>
        </w:numPr>
        <w:spacing w:before="0" w:after="0"/>
        <w:rPr>
          <w:sz w:val="20"/>
        </w:rPr>
      </w:pPr>
      <w:proofErr w:type="spellStart"/>
      <w:r w:rsidRPr="008D3047">
        <w:rPr>
          <w:sz w:val="20"/>
        </w:rPr>
        <w:t>Histopatologiskt</w:t>
      </w:r>
      <w:proofErr w:type="spellEnd"/>
      <w:r w:rsidRPr="008D3047">
        <w:rPr>
          <w:sz w:val="20"/>
        </w:rPr>
        <w:t xml:space="preserve"> fynd förenligt med infektion av </w:t>
      </w:r>
      <w:proofErr w:type="spellStart"/>
      <w:r w:rsidRPr="008D3047">
        <w:rPr>
          <w:sz w:val="20"/>
        </w:rPr>
        <w:t>Mycobacterium</w:t>
      </w:r>
      <w:proofErr w:type="spellEnd"/>
      <w:r w:rsidRPr="008D3047">
        <w:rPr>
          <w:sz w:val="20"/>
        </w:rPr>
        <w:t xml:space="preserve"> </w:t>
      </w:r>
      <w:proofErr w:type="spellStart"/>
      <w:r w:rsidRPr="008D3047">
        <w:rPr>
          <w:sz w:val="20"/>
        </w:rPr>
        <w:t>tuberculosis</w:t>
      </w:r>
      <w:proofErr w:type="spellEnd"/>
      <w:r w:rsidRPr="008D3047">
        <w:rPr>
          <w:sz w:val="20"/>
        </w:rPr>
        <w:t>-komplexet</w:t>
      </w:r>
    </w:p>
    <w:p w:rsidR="00BA7678" w:rsidRPr="008D3047" w:rsidRDefault="00BA7678" w:rsidP="00BA7678">
      <w:pPr>
        <w:pStyle w:val="Punktlista"/>
        <w:numPr>
          <w:ilvl w:val="0"/>
          <w:numId w:val="5"/>
        </w:numPr>
        <w:spacing w:before="0" w:after="0"/>
        <w:rPr>
          <w:sz w:val="20"/>
        </w:rPr>
      </w:pPr>
      <w:r w:rsidRPr="008D3047">
        <w:rPr>
          <w:sz w:val="20"/>
        </w:rPr>
        <w:t xml:space="preserve">Påvisande av nukleinsyra från M. </w:t>
      </w:r>
      <w:proofErr w:type="spellStart"/>
      <w:r w:rsidRPr="008D3047">
        <w:rPr>
          <w:sz w:val="20"/>
        </w:rPr>
        <w:t>tuberculosis</w:t>
      </w:r>
      <w:proofErr w:type="spellEnd"/>
      <w:r w:rsidRPr="008D3047">
        <w:rPr>
          <w:sz w:val="20"/>
        </w:rPr>
        <w:t>-komplexet</w:t>
      </w:r>
    </w:p>
    <w:p w:rsidR="00BA7678" w:rsidRPr="008D3047" w:rsidRDefault="00BA7678" w:rsidP="00BA7678">
      <w:pPr>
        <w:pStyle w:val="Punktlista"/>
        <w:numPr>
          <w:ilvl w:val="0"/>
          <w:numId w:val="0"/>
        </w:numPr>
        <w:spacing w:before="0" w:after="0"/>
        <w:ind w:left="720"/>
        <w:rPr>
          <w:sz w:val="20"/>
        </w:rPr>
      </w:pPr>
      <w:r w:rsidRPr="008D3047">
        <w:rPr>
          <w:b/>
          <w:sz w:val="20"/>
          <w:u w:val="single"/>
        </w:rPr>
        <w:t>Kommentar</w:t>
      </w:r>
      <w:r w:rsidRPr="008D3047">
        <w:rPr>
          <w:b/>
          <w:sz w:val="20"/>
        </w:rPr>
        <w:t>:</w:t>
      </w:r>
      <w:r w:rsidRPr="008D3047">
        <w:rPr>
          <w:sz w:val="20"/>
        </w:rPr>
        <w:t xml:space="preserve"> Måttligt antal fall per år. Hög specificitet.</w:t>
      </w:r>
    </w:p>
    <w:p w:rsidR="00BA7678" w:rsidRPr="008D3047" w:rsidRDefault="00BA7678" w:rsidP="00BA7678">
      <w:pPr>
        <w:rPr>
          <w:b/>
          <w:sz w:val="20"/>
        </w:rPr>
      </w:pPr>
      <w:proofErr w:type="spellStart"/>
      <w:r w:rsidRPr="008D3047">
        <w:rPr>
          <w:b/>
          <w:sz w:val="20"/>
        </w:rPr>
        <w:t>Shigella</w:t>
      </w:r>
      <w:proofErr w:type="spellEnd"/>
    </w:p>
    <w:p w:rsidR="00BA7678" w:rsidRPr="008D3047" w:rsidRDefault="00BA7678" w:rsidP="00BA7678">
      <w:pPr>
        <w:pStyle w:val="Punktlista"/>
        <w:numPr>
          <w:ilvl w:val="0"/>
          <w:numId w:val="6"/>
        </w:numPr>
        <w:spacing w:before="0" w:after="0"/>
        <w:rPr>
          <w:sz w:val="20"/>
        </w:rPr>
      </w:pPr>
      <w:r w:rsidRPr="008D3047">
        <w:rPr>
          <w:sz w:val="20"/>
        </w:rPr>
        <w:t xml:space="preserve">Påvisande av nukleinsyra från </w:t>
      </w:r>
      <w:proofErr w:type="spellStart"/>
      <w:r w:rsidRPr="008D3047">
        <w:rPr>
          <w:sz w:val="20"/>
        </w:rPr>
        <w:t>Shigella</w:t>
      </w:r>
      <w:proofErr w:type="spellEnd"/>
      <w:r w:rsidRPr="008D3047">
        <w:rPr>
          <w:sz w:val="20"/>
        </w:rPr>
        <w:t xml:space="preserve"> </w:t>
      </w:r>
      <w:proofErr w:type="spellStart"/>
      <w:proofErr w:type="gramStart"/>
      <w:r w:rsidRPr="008D3047">
        <w:rPr>
          <w:sz w:val="20"/>
        </w:rPr>
        <w:t>spp</w:t>
      </w:r>
      <w:proofErr w:type="spellEnd"/>
      <w:r w:rsidRPr="008D3047">
        <w:rPr>
          <w:sz w:val="20"/>
        </w:rPr>
        <w:t>./</w:t>
      </w:r>
      <w:proofErr w:type="gramEnd"/>
      <w:r w:rsidRPr="008D3047">
        <w:rPr>
          <w:sz w:val="20"/>
        </w:rPr>
        <w:t>EIEC</w:t>
      </w:r>
    </w:p>
    <w:p w:rsidR="00BA7678" w:rsidRPr="008D3047" w:rsidRDefault="00BA7678" w:rsidP="00BA7678">
      <w:pPr>
        <w:pStyle w:val="Punktlista"/>
        <w:numPr>
          <w:ilvl w:val="0"/>
          <w:numId w:val="0"/>
        </w:numPr>
        <w:spacing w:before="0" w:after="0"/>
        <w:ind w:left="720"/>
        <w:rPr>
          <w:sz w:val="20"/>
        </w:rPr>
      </w:pPr>
      <w:r w:rsidRPr="008D3047">
        <w:rPr>
          <w:b/>
          <w:sz w:val="20"/>
          <w:u w:val="single"/>
        </w:rPr>
        <w:t>Kommentar</w:t>
      </w:r>
      <w:r w:rsidRPr="008D3047">
        <w:rPr>
          <w:b/>
          <w:sz w:val="20"/>
        </w:rPr>
        <w:t>:</w:t>
      </w:r>
      <w:r w:rsidRPr="008D3047">
        <w:rPr>
          <w:sz w:val="20"/>
        </w:rPr>
        <w:t xml:space="preserve"> Nytt förra året(?). Stort antal fall per år till följd av ökad användning av </w:t>
      </w:r>
      <w:proofErr w:type="spellStart"/>
      <w:r w:rsidRPr="008D3047">
        <w:rPr>
          <w:sz w:val="20"/>
        </w:rPr>
        <w:t>multiplexa</w:t>
      </w:r>
      <w:proofErr w:type="spellEnd"/>
      <w:r w:rsidRPr="008D3047">
        <w:rPr>
          <w:sz w:val="20"/>
        </w:rPr>
        <w:t xml:space="preserve"> PCR-paneler. Majoriteten av fallen kommer inte att kunna bekräfta</w:t>
      </w:r>
      <w:r w:rsidR="00425714">
        <w:rPr>
          <w:sz w:val="20"/>
        </w:rPr>
        <w:t>s</w:t>
      </w:r>
      <w:r w:rsidRPr="008D3047">
        <w:rPr>
          <w:sz w:val="20"/>
        </w:rPr>
        <w:t xml:space="preserve"> som </w:t>
      </w:r>
      <w:proofErr w:type="spellStart"/>
      <w:r w:rsidRPr="008D3047">
        <w:rPr>
          <w:sz w:val="20"/>
        </w:rPr>
        <w:t>Shigella</w:t>
      </w:r>
      <w:proofErr w:type="spellEnd"/>
      <w:r w:rsidRPr="008D3047">
        <w:rPr>
          <w:sz w:val="20"/>
        </w:rPr>
        <w:t xml:space="preserve"> </w:t>
      </w:r>
      <w:proofErr w:type="spellStart"/>
      <w:r w:rsidRPr="008D3047">
        <w:rPr>
          <w:sz w:val="20"/>
        </w:rPr>
        <w:t>spp</w:t>
      </w:r>
      <w:proofErr w:type="spellEnd"/>
      <w:r w:rsidRPr="008D3047">
        <w:rPr>
          <w:sz w:val="20"/>
        </w:rPr>
        <w:t>. (låg specificitet).</w:t>
      </w:r>
    </w:p>
    <w:p w:rsidR="00BA7678" w:rsidRPr="008D3047" w:rsidRDefault="00BA7678" w:rsidP="00BA7678">
      <w:pPr>
        <w:rPr>
          <w:b/>
          <w:sz w:val="20"/>
        </w:rPr>
      </w:pPr>
      <w:proofErr w:type="spellStart"/>
      <w:r w:rsidRPr="008D3047">
        <w:rPr>
          <w:b/>
          <w:sz w:val="20"/>
        </w:rPr>
        <w:t>Yersinia</w:t>
      </w:r>
      <w:proofErr w:type="spellEnd"/>
    </w:p>
    <w:p w:rsidR="00BA7678" w:rsidRPr="008D3047" w:rsidRDefault="00BA7678" w:rsidP="00BA7678">
      <w:pPr>
        <w:pStyle w:val="Brdtext"/>
        <w:numPr>
          <w:ilvl w:val="0"/>
          <w:numId w:val="7"/>
        </w:numPr>
        <w:spacing w:before="200" w:after="0"/>
        <w:rPr>
          <w:sz w:val="20"/>
        </w:rPr>
      </w:pPr>
      <w:r w:rsidRPr="008D3047">
        <w:rPr>
          <w:sz w:val="20"/>
        </w:rPr>
        <w:t xml:space="preserve">Påvisande av nukleinsyra från Y. </w:t>
      </w:r>
      <w:proofErr w:type="spellStart"/>
      <w:r w:rsidRPr="008D3047">
        <w:rPr>
          <w:sz w:val="20"/>
        </w:rPr>
        <w:t>enterocolitica</w:t>
      </w:r>
      <w:proofErr w:type="spellEnd"/>
      <w:r w:rsidRPr="008D3047">
        <w:rPr>
          <w:sz w:val="20"/>
        </w:rPr>
        <w:br/>
      </w:r>
      <w:r w:rsidRPr="008D3047">
        <w:rPr>
          <w:b/>
          <w:sz w:val="20"/>
          <w:u w:val="single"/>
        </w:rPr>
        <w:t>Kommentar</w:t>
      </w:r>
      <w:r w:rsidRPr="008D3047">
        <w:rPr>
          <w:b/>
          <w:sz w:val="20"/>
        </w:rPr>
        <w:t>:</w:t>
      </w:r>
      <w:r w:rsidRPr="008D3047">
        <w:rPr>
          <w:sz w:val="20"/>
        </w:rPr>
        <w:t xml:space="preserve"> Nytt förra året(?). Stort antal fall per år till följd av ökad användning av </w:t>
      </w:r>
      <w:proofErr w:type="spellStart"/>
      <w:r w:rsidRPr="008D3047">
        <w:rPr>
          <w:sz w:val="20"/>
        </w:rPr>
        <w:t>multiplexa</w:t>
      </w:r>
      <w:proofErr w:type="spellEnd"/>
      <w:r w:rsidRPr="008D3047">
        <w:rPr>
          <w:sz w:val="20"/>
        </w:rPr>
        <w:t xml:space="preserve"> PCR-paneler. Majoriteten av fallen kommer inte att kunna bekräftas som humanpatogena </w:t>
      </w:r>
      <w:proofErr w:type="spellStart"/>
      <w:r w:rsidRPr="008D3047">
        <w:rPr>
          <w:sz w:val="20"/>
        </w:rPr>
        <w:t>Yersinia</w:t>
      </w:r>
      <w:proofErr w:type="spellEnd"/>
      <w:r w:rsidRPr="008D3047">
        <w:rPr>
          <w:sz w:val="20"/>
        </w:rPr>
        <w:t>-varianter (</w:t>
      </w:r>
      <w:proofErr w:type="spellStart"/>
      <w:r w:rsidRPr="008D3047">
        <w:rPr>
          <w:sz w:val="20"/>
        </w:rPr>
        <w:t>biotyp</w:t>
      </w:r>
      <w:proofErr w:type="spellEnd"/>
      <w:r w:rsidRPr="008D3047">
        <w:rPr>
          <w:sz w:val="20"/>
        </w:rPr>
        <w:t xml:space="preserve"> 1A vanligt förekommande) (låg specificitet).</w:t>
      </w:r>
    </w:p>
    <w:p w:rsidR="008D3047" w:rsidRDefault="008D3047" w:rsidP="008D3047"/>
    <w:p w:rsidR="008D3047" w:rsidRPr="008D3047" w:rsidRDefault="008D3047" w:rsidP="008D3047">
      <w:pPr>
        <w:rPr>
          <w:sz w:val="20"/>
        </w:rPr>
      </w:pPr>
      <w:r w:rsidRPr="008D3047">
        <w:rPr>
          <w:b/>
          <w:sz w:val="20"/>
        </w:rPr>
        <w:t>Tabell 1.</w:t>
      </w:r>
      <w:r w:rsidRPr="008D3047">
        <w:rPr>
          <w:sz w:val="20"/>
        </w:rPr>
        <w:t xml:space="preserve"> </w:t>
      </w:r>
      <w:r>
        <w:rPr>
          <w:sz w:val="20"/>
        </w:rPr>
        <w:t xml:space="preserve">6 av 39 </w:t>
      </w:r>
      <w:r w:rsidRPr="008D3047">
        <w:rPr>
          <w:sz w:val="20"/>
        </w:rPr>
        <w:t>falldefinitioner har kriterier för ”misstänkt fall”</w:t>
      </w:r>
      <w:r>
        <w:rPr>
          <w:sz w:val="20"/>
        </w:rPr>
        <w:t xml:space="preserve"> </w:t>
      </w:r>
      <w:r w:rsidR="00425714">
        <w:rPr>
          <w:sz w:val="20"/>
        </w:rPr>
        <w:t xml:space="preserve">vilka kan uppfyllas utan hänsyn till klinisk bild </w:t>
      </w:r>
      <w:r w:rsidR="003B334D">
        <w:rPr>
          <w:sz w:val="20"/>
        </w:rPr>
        <w:t xml:space="preserve">eller </w:t>
      </w:r>
      <w:r w:rsidR="00425714">
        <w:rPr>
          <w:sz w:val="20"/>
        </w:rPr>
        <w:t xml:space="preserve">epidemiologiska data, dvs helt och håller baseras på mikrobiologiska fynd. </w:t>
      </w:r>
    </w:p>
    <w:p w:rsidR="00B7388A" w:rsidRDefault="00B7388A" w:rsidP="00B7388A">
      <w:pPr>
        <w:pStyle w:val="Rubrik2"/>
      </w:pPr>
    </w:p>
    <w:p w:rsidR="00425714" w:rsidRDefault="00B7388A" w:rsidP="00B7388A">
      <w:pPr>
        <w:pStyle w:val="Rubrik2"/>
      </w:pPr>
      <w:proofErr w:type="spellStart"/>
      <w:proofErr w:type="gramStart"/>
      <w:r>
        <w:t>FKMs</w:t>
      </w:r>
      <w:proofErr w:type="spellEnd"/>
      <w:proofErr w:type="gramEnd"/>
      <w:r>
        <w:t xml:space="preserve"> kommentarer till de nya falldefinitionerna</w:t>
      </w:r>
    </w:p>
    <w:p w:rsidR="00B7388A" w:rsidRDefault="00B7388A">
      <w:r>
        <w:br/>
        <w:t>FKM bedömer att synpunkter på utformningen av enskilda falldefinitioner kan överlämnas till de av föreningens medlemmar som i egenskap av verksamhetsrepresentanter från landet</w:t>
      </w:r>
      <w:r w:rsidR="003B334D">
        <w:t>s</w:t>
      </w:r>
      <w:r>
        <w:t xml:space="preserve"> laboratorier ges möjlighet att kommentera dessa. Föreningen önskar dock lyfta vad vi uppfattar som en förändring/glidning av definitionerna för ”misstänkt fall”. </w:t>
      </w:r>
    </w:p>
    <w:p w:rsidR="00B7388A" w:rsidRDefault="00B7388A">
      <w:r>
        <w:t xml:space="preserve">I fallet </w:t>
      </w:r>
      <w:proofErr w:type="spellStart"/>
      <w:r>
        <w:t>Shigella</w:t>
      </w:r>
      <w:proofErr w:type="spellEnd"/>
      <w:r>
        <w:t xml:space="preserve"> bedömer vi att syftet med den nuvarande falldefinitionen </w:t>
      </w:r>
      <w:r w:rsidR="0075422F">
        <w:t xml:space="preserve">sannolikt </w:t>
      </w:r>
      <w:r>
        <w:t xml:space="preserve">är att fånga upp fall av EIEC. Föreningen är medveten om att även dessa infektioner kan vara allvarliga, men konstaterar samtidigt att EIEC i dagsläget inte är en anmälningspliktig sjukdom.  </w:t>
      </w:r>
    </w:p>
    <w:p w:rsidR="00B7388A" w:rsidRDefault="00B7388A">
      <w:r>
        <w:lastRenderedPageBreak/>
        <w:t xml:space="preserve">I fallet </w:t>
      </w:r>
      <w:proofErr w:type="spellStart"/>
      <w:r>
        <w:t>Yersinia</w:t>
      </w:r>
      <w:proofErr w:type="spellEnd"/>
      <w:r>
        <w:t xml:space="preserve"> är syftet med att ett sannolikt ganska stort antal positiva PCR-fynd orsakade av </w:t>
      </w:r>
      <w:proofErr w:type="spellStart"/>
      <w:r>
        <w:t>Yersinia</w:t>
      </w:r>
      <w:proofErr w:type="spellEnd"/>
      <w:r>
        <w:t xml:space="preserve"> </w:t>
      </w:r>
      <w:proofErr w:type="spellStart"/>
      <w:r>
        <w:t>enterocolitica</w:t>
      </w:r>
      <w:proofErr w:type="spellEnd"/>
      <w:r>
        <w:t xml:space="preserve"> </w:t>
      </w:r>
      <w:proofErr w:type="spellStart"/>
      <w:r>
        <w:t>biotyp</w:t>
      </w:r>
      <w:proofErr w:type="spellEnd"/>
      <w:r>
        <w:t xml:space="preserve"> 1A ska generera anmälan som ”misstänkt fall” </w:t>
      </w:r>
      <w:r w:rsidR="000A272E">
        <w:t xml:space="preserve">för oss </w:t>
      </w:r>
      <w:r>
        <w:t xml:space="preserve">mera oklar. Erfarenheten är </w:t>
      </w:r>
      <w:r w:rsidR="006F5773">
        <w:t xml:space="preserve">att en mycket låg andel av </w:t>
      </w:r>
      <w:r>
        <w:t>dess</w:t>
      </w:r>
      <w:r w:rsidR="006F5773">
        <w:t>a</w:t>
      </w:r>
      <w:r>
        <w:t xml:space="preserve"> </w:t>
      </w:r>
      <w:r w:rsidR="0075422F">
        <w:t>PCR-fynd</w:t>
      </w:r>
      <w:r>
        <w:t xml:space="preserve"> kan be</w:t>
      </w:r>
      <w:r w:rsidR="008F3CA2">
        <w:t xml:space="preserve">kräftas som patogena </w:t>
      </w:r>
      <w:proofErr w:type="spellStart"/>
      <w:r w:rsidR="008F3CA2">
        <w:t>Yersinia</w:t>
      </w:r>
      <w:proofErr w:type="spellEnd"/>
      <w:r w:rsidR="008F3CA2">
        <w:t>-stammar</w:t>
      </w:r>
      <w:r w:rsidR="006F5773">
        <w:t xml:space="preserve"> (figur 1)</w:t>
      </w:r>
      <w:r w:rsidR="008F3CA2">
        <w:t xml:space="preserve">. </w:t>
      </w:r>
      <w:r w:rsidR="0075422F">
        <w:t xml:space="preserve">I avsaknad av klinisk bild förenlig med </w:t>
      </w:r>
      <w:proofErr w:type="spellStart"/>
      <w:r w:rsidR="0075422F">
        <w:t>yersiniainfektion</w:t>
      </w:r>
      <w:proofErr w:type="spellEnd"/>
      <w:r w:rsidR="0075422F">
        <w:t xml:space="preserve"> bör specificiteten av dylika fynd bedömas som låg. </w:t>
      </w:r>
    </w:p>
    <w:p w:rsidR="008F3CA2" w:rsidRDefault="008F3CA2">
      <w:r>
        <w:t xml:space="preserve">FKM vill sammanfattningsvis lyfta den principiella användningen av ”misstänkt fall” för att säkerställa att den förändring vi noterar dels är medveten från Folkhälsomyndighetens sida och dels bedöms </w:t>
      </w:r>
      <w:r w:rsidR="0075422F">
        <w:t xml:space="preserve">som </w:t>
      </w:r>
      <w:r>
        <w:t>ändamålsenlig av myndigheten.</w:t>
      </w:r>
      <w:r w:rsidR="000A272E">
        <w:t xml:space="preserve"> Dessutom kan den nyare användningen av begreppet ”misstänkt fall” i så fall </w:t>
      </w:r>
      <w:r w:rsidR="0075422F">
        <w:t>eventuellt behöva</w:t>
      </w:r>
      <w:r w:rsidR="000A272E">
        <w:t xml:space="preserve"> föranleda en ändring av definitionen av detta begrepp i dokumentets inledande delar.</w:t>
      </w:r>
      <w:r w:rsidR="0075422F">
        <w:t xml:space="preserve"> Anmälan som ”misstänkt fall” har tidigare framför allt kunnat göras av behandlande läkare, vilken har tillgång till kliniska och epidemiologiska data. Om användningen istället går mot att mikrobiologiska fynd ensamt ska kunna föranleda anmälan bör detta vara väl genomtänkt och avvägt.</w:t>
      </w:r>
    </w:p>
    <w:p w:rsidR="006F5773" w:rsidRDefault="006F5773"/>
    <w:p w:rsidR="006F5773" w:rsidRDefault="006F5773">
      <w:r>
        <w:rPr>
          <w:noProof/>
        </w:rPr>
        <w:drawing>
          <wp:inline distT="0" distB="0" distL="0" distR="0">
            <wp:extent cx="3829050" cy="2228294"/>
            <wp:effectExtent l="0" t="0" r="0" b="635"/>
            <wp:docPr id="2" name="Bildobjekt 2" descr="cid:image003.png@01DB15A1.EE549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descr="cid:image003.png@01DB15A1.EE54948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831949" cy="2229981"/>
                    </a:xfrm>
                    <a:prstGeom prst="rect">
                      <a:avLst/>
                    </a:prstGeom>
                    <a:noFill/>
                    <a:ln>
                      <a:noFill/>
                    </a:ln>
                  </pic:spPr>
                </pic:pic>
              </a:graphicData>
            </a:graphic>
          </wp:inline>
        </w:drawing>
      </w:r>
    </w:p>
    <w:p w:rsidR="006F5773" w:rsidRPr="006F5773" w:rsidRDefault="006F5773">
      <w:pPr>
        <w:rPr>
          <w:sz w:val="20"/>
        </w:rPr>
      </w:pPr>
      <w:r w:rsidRPr="006F5773">
        <w:rPr>
          <w:b/>
          <w:sz w:val="20"/>
        </w:rPr>
        <w:t>Figur 1.</w:t>
      </w:r>
      <w:r w:rsidRPr="006F5773">
        <w:rPr>
          <w:sz w:val="20"/>
        </w:rPr>
        <w:t xml:space="preserve"> Resultat från odlingsbaserad konfirmering av positiva PCR-fynd avseende </w:t>
      </w:r>
      <w:proofErr w:type="spellStart"/>
      <w:r w:rsidRPr="006F5773">
        <w:rPr>
          <w:sz w:val="20"/>
        </w:rPr>
        <w:t>Yersinia</w:t>
      </w:r>
      <w:proofErr w:type="spellEnd"/>
      <w:r w:rsidRPr="006F5773">
        <w:rPr>
          <w:sz w:val="20"/>
        </w:rPr>
        <w:t xml:space="preserve"> </w:t>
      </w:r>
      <w:proofErr w:type="spellStart"/>
      <w:r w:rsidR="001D433C">
        <w:rPr>
          <w:sz w:val="20"/>
        </w:rPr>
        <w:t>enterocolitica</w:t>
      </w:r>
      <w:proofErr w:type="spellEnd"/>
      <w:r w:rsidRPr="006F5773">
        <w:rPr>
          <w:sz w:val="20"/>
        </w:rPr>
        <w:t xml:space="preserve"> </w:t>
      </w:r>
      <w:r>
        <w:rPr>
          <w:sz w:val="20"/>
        </w:rPr>
        <w:t>i</w:t>
      </w:r>
      <w:r w:rsidRPr="006F5773">
        <w:rPr>
          <w:sz w:val="20"/>
        </w:rPr>
        <w:t xml:space="preserve"> </w:t>
      </w:r>
      <w:proofErr w:type="spellStart"/>
      <w:r w:rsidRPr="006F5773">
        <w:rPr>
          <w:sz w:val="20"/>
        </w:rPr>
        <w:t>multiplex</w:t>
      </w:r>
      <w:proofErr w:type="spellEnd"/>
      <w:r w:rsidRPr="006F5773">
        <w:rPr>
          <w:sz w:val="20"/>
        </w:rPr>
        <w:t xml:space="preserve"> </w:t>
      </w:r>
      <w:proofErr w:type="spellStart"/>
      <w:r w:rsidRPr="006F5773">
        <w:rPr>
          <w:sz w:val="20"/>
        </w:rPr>
        <w:t>gastroenteritpanel</w:t>
      </w:r>
      <w:proofErr w:type="spellEnd"/>
      <w:r w:rsidRPr="006F5773">
        <w:rPr>
          <w:sz w:val="20"/>
        </w:rPr>
        <w:t xml:space="preserve"> (</w:t>
      </w:r>
      <w:r>
        <w:rPr>
          <w:sz w:val="20"/>
        </w:rPr>
        <w:t xml:space="preserve">n=100, </w:t>
      </w:r>
      <w:r w:rsidRPr="006F5773">
        <w:rPr>
          <w:sz w:val="20"/>
        </w:rPr>
        <w:t>data från Klinisk mikrobiologi Region Kronoberg).</w:t>
      </w:r>
      <w:bookmarkStart w:id="0" w:name="_GoBack"/>
      <w:bookmarkEnd w:id="0"/>
    </w:p>
    <w:sectPr w:rsidR="006F5773" w:rsidRPr="006F57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53D8"/>
    <w:multiLevelType w:val="hybridMultilevel"/>
    <w:tmpl w:val="704A3474"/>
    <w:lvl w:ilvl="0" w:tplc="6C8815E6">
      <w:start w:val="1"/>
      <w:numFmt w:val="decimal"/>
      <w:lvlText w:val="%1."/>
      <w:lvlJc w:val="left"/>
      <w:pPr>
        <w:ind w:left="833" w:hanging="360"/>
      </w:pPr>
      <w:rPr>
        <w:rFonts w:hint="default"/>
      </w:rPr>
    </w:lvl>
    <w:lvl w:ilvl="1" w:tplc="041D0019">
      <w:start w:val="1"/>
      <w:numFmt w:val="lowerLetter"/>
      <w:lvlText w:val="%2."/>
      <w:lvlJc w:val="left"/>
      <w:pPr>
        <w:ind w:left="1553" w:hanging="360"/>
      </w:pPr>
    </w:lvl>
    <w:lvl w:ilvl="2" w:tplc="041D001B" w:tentative="1">
      <w:start w:val="1"/>
      <w:numFmt w:val="lowerRoman"/>
      <w:lvlText w:val="%3."/>
      <w:lvlJc w:val="right"/>
      <w:pPr>
        <w:ind w:left="2273" w:hanging="180"/>
      </w:pPr>
    </w:lvl>
    <w:lvl w:ilvl="3" w:tplc="041D000F" w:tentative="1">
      <w:start w:val="1"/>
      <w:numFmt w:val="decimal"/>
      <w:lvlText w:val="%4."/>
      <w:lvlJc w:val="left"/>
      <w:pPr>
        <w:ind w:left="2993" w:hanging="360"/>
      </w:pPr>
    </w:lvl>
    <w:lvl w:ilvl="4" w:tplc="041D0019" w:tentative="1">
      <w:start w:val="1"/>
      <w:numFmt w:val="lowerLetter"/>
      <w:lvlText w:val="%5."/>
      <w:lvlJc w:val="left"/>
      <w:pPr>
        <w:ind w:left="3713" w:hanging="360"/>
      </w:pPr>
    </w:lvl>
    <w:lvl w:ilvl="5" w:tplc="041D001B" w:tentative="1">
      <w:start w:val="1"/>
      <w:numFmt w:val="lowerRoman"/>
      <w:lvlText w:val="%6."/>
      <w:lvlJc w:val="right"/>
      <w:pPr>
        <w:ind w:left="4433" w:hanging="180"/>
      </w:pPr>
    </w:lvl>
    <w:lvl w:ilvl="6" w:tplc="041D000F" w:tentative="1">
      <w:start w:val="1"/>
      <w:numFmt w:val="decimal"/>
      <w:lvlText w:val="%7."/>
      <w:lvlJc w:val="left"/>
      <w:pPr>
        <w:ind w:left="5153" w:hanging="360"/>
      </w:pPr>
    </w:lvl>
    <w:lvl w:ilvl="7" w:tplc="041D0019" w:tentative="1">
      <w:start w:val="1"/>
      <w:numFmt w:val="lowerLetter"/>
      <w:lvlText w:val="%8."/>
      <w:lvlJc w:val="left"/>
      <w:pPr>
        <w:ind w:left="5873" w:hanging="360"/>
      </w:pPr>
    </w:lvl>
    <w:lvl w:ilvl="8" w:tplc="041D001B" w:tentative="1">
      <w:start w:val="1"/>
      <w:numFmt w:val="lowerRoman"/>
      <w:lvlText w:val="%9."/>
      <w:lvlJc w:val="right"/>
      <w:pPr>
        <w:ind w:left="6593" w:hanging="180"/>
      </w:pPr>
    </w:lvl>
  </w:abstractNum>
  <w:abstractNum w:abstractNumId="1" w15:restartNumberingAfterBreak="0">
    <w:nsid w:val="245E67CC"/>
    <w:multiLevelType w:val="hybridMultilevel"/>
    <w:tmpl w:val="AC1C1D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9A73970"/>
    <w:multiLevelType w:val="hybridMultilevel"/>
    <w:tmpl w:val="FC3A0814"/>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FCA1535"/>
    <w:multiLevelType w:val="hybridMultilevel"/>
    <w:tmpl w:val="31CA9C5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3F9905AE"/>
    <w:multiLevelType w:val="multilevel"/>
    <w:tmpl w:val="ED5C835E"/>
    <w:lvl w:ilvl="0">
      <w:start w:val="1"/>
      <w:numFmt w:val="bullet"/>
      <w:pStyle w:val="Punktlista"/>
      <w:lvlText w:val=""/>
      <w:lvlJc w:val="left"/>
      <w:pPr>
        <w:ind w:left="397" w:hanging="284"/>
      </w:pPr>
      <w:rPr>
        <w:rFonts w:ascii="Symbol" w:hAnsi="Symbol" w:hint="default"/>
        <w:strike w:val="0"/>
      </w:rPr>
    </w:lvl>
    <w:lvl w:ilvl="1">
      <w:start w:val="1"/>
      <w:numFmt w:val="bullet"/>
      <w:lvlText w:val=""/>
      <w:lvlJc w:val="left"/>
      <w:pPr>
        <w:ind w:left="681" w:hanging="284"/>
      </w:pPr>
      <w:rPr>
        <w:rFonts w:ascii="Symbol" w:hAnsi="Symbol" w:hint="default"/>
      </w:rPr>
    </w:lvl>
    <w:lvl w:ilvl="2">
      <w:start w:val="1"/>
      <w:numFmt w:val="bullet"/>
      <w:lvlText w:val=""/>
      <w:lvlJc w:val="left"/>
      <w:pPr>
        <w:ind w:left="965" w:hanging="284"/>
      </w:pPr>
      <w:rPr>
        <w:rFonts w:ascii="Symbol" w:hAnsi="Symbol" w:hint="default"/>
      </w:rPr>
    </w:lvl>
    <w:lvl w:ilvl="3">
      <w:start w:val="1"/>
      <w:numFmt w:val="bullet"/>
      <w:lvlText w:val=""/>
      <w:lvlJc w:val="left"/>
      <w:pPr>
        <w:ind w:left="1249" w:hanging="284"/>
      </w:pPr>
      <w:rPr>
        <w:rFonts w:ascii="Symbol" w:hAnsi="Symbol" w:hint="default"/>
      </w:rPr>
    </w:lvl>
    <w:lvl w:ilvl="4">
      <w:start w:val="1"/>
      <w:numFmt w:val="bullet"/>
      <w:lvlText w:val=""/>
      <w:lvlJc w:val="left"/>
      <w:pPr>
        <w:ind w:left="1533" w:hanging="284"/>
      </w:pPr>
      <w:rPr>
        <w:rFonts w:ascii="Symbol" w:hAnsi="Symbol" w:hint="default"/>
      </w:rPr>
    </w:lvl>
    <w:lvl w:ilvl="5">
      <w:start w:val="1"/>
      <w:numFmt w:val="bullet"/>
      <w:lvlText w:val=""/>
      <w:lvlJc w:val="left"/>
      <w:pPr>
        <w:ind w:left="1817" w:hanging="284"/>
      </w:pPr>
      <w:rPr>
        <w:rFonts w:ascii="Symbol" w:hAnsi="Symbol" w:hint="default"/>
      </w:rPr>
    </w:lvl>
    <w:lvl w:ilvl="6">
      <w:start w:val="1"/>
      <w:numFmt w:val="bullet"/>
      <w:lvlText w:val=""/>
      <w:lvlJc w:val="left"/>
      <w:pPr>
        <w:ind w:left="2101" w:hanging="284"/>
      </w:pPr>
      <w:rPr>
        <w:rFonts w:ascii="Symbol" w:hAnsi="Symbol" w:hint="default"/>
      </w:rPr>
    </w:lvl>
    <w:lvl w:ilvl="7">
      <w:start w:val="1"/>
      <w:numFmt w:val="bullet"/>
      <w:lvlText w:val=""/>
      <w:lvlJc w:val="left"/>
      <w:pPr>
        <w:ind w:left="2385" w:hanging="284"/>
      </w:pPr>
      <w:rPr>
        <w:rFonts w:ascii="Symbol" w:hAnsi="Symbol" w:hint="default"/>
      </w:rPr>
    </w:lvl>
    <w:lvl w:ilvl="8">
      <w:start w:val="1"/>
      <w:numFmt w:val="bullet"/>
      <w:lvlText w:val=""/>
      <w:lvlJc w:val="left"/>
      <w:pPr>
        <w:ind w:left="2669" w:hanging="284"/>
      </w:pPr>
      <w:rPr>
        <w:rFonts w:ascii="Symbol" w:hAnsi="Symbol" w:hint="default"/>
      </w:rPr>
    </w:lvl>
  </w:abstractNum>
  <w:abstractNum w:abstractNumId="5" w15:restartNumberingAfterBreak="0">
    <w:nsid w:val="542E4216"/>
    <w:multiLevelType w:val="hybridMultilevel"/>
    <w:tmpl w:val="A4E8CBC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2D22FCF"/>
    <w:multiLevelType w:val="hybridMultilevel"/>
    <w:tmpl w:val="2220A9E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62"/>
    <w:rsid w:val="000A272E"/>
    <w:rsid w:val="001D433C"/>
    <w:rsid w:val="003B334D"/>
    <w:rsid w:val="00425714"/>
    <w:rsid w:val="004F6709"/>
    <w:rsid w:val="00575462"/>
    <w:rsid w:val="006F5773"/>
    <w:rsid w:val="0075422F"/>
    <w:rsid w:val="00763B50"/>
    <w:rsid w:val="00815DF1"/>
    <w:rsid w:val="008D3047"/>
    <w:rsid w:val="008F3CA2"/>
    <w:rsid w:val="009406B1"/>
    <w:rsid w:val="00963725"/>
    <w:rsid w:val="00985539"/>
    <w:rsid w:val="00B7388A"/>
    <w:rsid w:val="00BA49CA"/>
    <w:rsid w:val="00BA7678"/>
    <w:rsid w:val="00FD42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E202"/>
  <w15:chartTrackingRefBased/>
  <w15:docId w15:val="{A44386B6-47F5-4F56-AF70-8DFAAB90B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B33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9637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963725"/>
    <w:rPr>
      <w:rFonts w:asciiTheme="majorHAnsi" w:eastAsiaTheme="majorEastAsia" w:hAnsiTheme="majorHAnsi" w:cstheme="majorBidi"/>
      <w:color w:val="2F5496" w:themeColor="accent1" w:themeShade="BF"/>
      <w:sz w:val="26"/>
      <w:szCs w:val="26"/>
    </w:rPr>
  </w:style>
  <w:style w:type="character" w:styleId="Hyperlnk">
    <w:name w:val="Hyperlink"/>
    <w:aliases w:val="Hyperlänk - F"/>
    <w:basedOn w:val="Standardstycketeckensnitt"/>
    <w:uiPriority w:val="99"/>
    <w:unhideWhenUsed/>
    <w:rsid w:val="00FD4228"/>
    <w:rPr>
      <w:color w:val="005C9A"/>
      <w:u w:val="single"/>
    </w:rPr>
  </w:style>
  <w:style w:type="character" w:styleId="AnvndHyperlnk">
    <w:name w:val="FollowedHyperlink"/>
    <w:basedOn w:val="Standardstycketeckensnitt"/>
    <w:uiPriority w:val="99"/>
    <w:semiHidden/>
    <w:unhideWhenUsed/>
    <w:rsid w:val="00FD4228"/>
    <w:rPr>
      <w:color w:val="954F72" w:themeColor="followedHyperlink"/>
      <w:u w:val="single"/>
    </w:rPr>
  </w:style>
  <w:style w:type="paragraph" w:styleId="Punktlista">
    <w:name w:val="List Bullet"/>
    <w:aliases w:val="Punktlista - F"/>
    <w:basedOn w:val="Brdtext"/>
    <w:uiPriority w:val="9"/>
    <w:qFormat/>
    <w:rsid w:val="00BA7678"/>
    <w:pPr>
      <w:numPr>
        <w:numId w:val="1"/>
      </w:numPr>
      <w:spacing w:before="60" w:after="100" w:line="300" w:lineRule="atLeast"/>
    </w:pPr>
    <w:rPr>
      <w:color w:val="000000" w:themeColor="text1"/>
    </w:rPr>
  </w:style>
  <w:style w:type="paragraph" w:styleId="Brdtext">
    <w:name w:val="Body Text"/>
    <w:basedOn w:val="Normal"/>
    <w:link w:val="BrdtextChar"/>
    <w:uiPriority w:val="99"/>
    <w:semiHidden/>
    <w:unhideWhenUsed/>
    <w:rsid w:val="00BA7678"/>
    <w:pPr>
      <w:spacing w:after="120"/>
    </w:pPr>
  </w:style>
  <w:style w:type="character" w:customStyle="1" w:styleId="BrdtextChar">
    <w:name w:val="Brödtext Char"/>
    <w:basedOn w:val="Standardstycketeckensnitt"/>
    <w:link w:val="Brdtext"/>
    <w:uiPriority w:val="99"/>
    <w:semiHidden/>
    <w:rsid w:val="00BA7678"/>
  </w:style>
  <w:style w:type="character" w:customStyle="1" w:styleId="Rubrik1Char">
    <w:name w:val="Rubrik 1 Char"/>
    <w:basedOn w:val="Standardstycketeckensnitt"/>
    <w:link w:val="Rubrik1"/>
    <w:uiPriority w:val="9"/>
    <w:rsid w:val="003B33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B15A1.EE5494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1055</Words>
  <Characters>5594</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Region Kronoberg</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 Ekelund</dc:creator>
  <cp:keywords/>
  <dc:description/>
  <cp:lastModifiedBy>Oskar Ekelund</cp:lastModifiedBy>
  <cp:revision>3</cp:revision>
  <dcterms:created xsi:type="dcterms:W3CDTF">2024-10-07T14:25:00Z</dcterms:created>
  <dcterms:modified xsi:type="dcterms:W3CDTF">2024-10-07T14:31:00Z</dcterms:modified>
</cp:coreProperties>
</file>